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397E4" w14:textId="77777777" w:rsidR="0013608C" w:rsidRDefault="0013608C" w:rsidP="0013608C">
      <w:pPr>
        <w:keepNext/>
        <w:keepLines/>
        <w:overflowPunct/>
        <w:autoSpaceDE/>
        <w:autoSpaceDN/>
        <w:adjustRightInd/>
        <w:spacing w:before="120" w:after="120"/>
        <w:jc w:val="both"/>
        <w:textAlignment w:val="auto"/>
        <w:outlineLvl w:val="0"/>
        <w:rPr>
          <w:rFonts w:ascii="Arial" w:hAnsi="Arial" w:cs="Arial"/>
          <w:b/>
          <w:sz w:val="56"/>
          <w:szCs w:val="56"/>
        </w:rPr>
      </w:pPr>
    </w:p>
    <w:p w14:paraId="28BF4352" w14:textId="578FD5BA" w:rsidR="0013608C" w:rsidRPr="0013608C" w:rsidRDefault="0013608C" w:rsidP="0013608C">
      <w:pPr>
        <w:keepNext/>
        <w:keepLines/>
        <w:overflowPunct/>
        <w:autoSpaceDE/>
        <w:autoSpaceDN/>
        <w:adjustRightInd/>
        <w:spacing w:before="120" w:after="120"/>
        <w:jc w:val="both"/>
        <w:textAlignment w:val="auto"/>
        <w:outlineLvl w:val="0"/>
        <w:rPr>
          <w:rFonts w:ascii="Arial" w:hAnsi="Arial"/>
          <w:b/>
          <w:kern w:val="2"/>
          <w:sz w:val="40"/>
          <w:szCs w:val="40"/>
          <w:lang w:val="en-AU" w:eastAsia="en-AU"/>
          <w14:ligatures w14:val="standardContextual"/>
        </w:rPr>
      </w:pPr>
      <w:r w:rsidRPr="0013608C">
        <w:rPr>
          <w:rFonts w:ascii="Arial" w:hAnsi="Arial"/>
          <w:b/>
          <w:kern w:val="2"/>
          <w:sz w:val="40"/>
          <w:szCs w:val="40"/>
          <w:lang w:val="en-AU" w:eastAsia="en-AU"/>
          <w14:ligatures w14:val="standardContextual"/>
        </w:rPr>
        <w:t>INFORMATION SHEET –</w:t>
      </w:r>
      <w:r w:rsidR="00511CBE">
        <w:rPr>
          <w:rFonts w:ascii="Arial" w:hAnsi="Arial"/>
          <w:b/>
          <w:kern w:val="2"/>
          <w:sz w:val="40"/>
          <w:szCs w:val="40"/>
          <w:lang w:val="en-AU" w:eastAsia="en-AU"/>
          <w14:ligatures w14:val="standardContextual"/>
        </w:rPr>
        <w:t xml:space="preserve"> </w:t>
      </w:r>
      <w:r w:rsidR="00A52C4B" w:rsidRPr="00A52C4B">
        <w:rPr>
          <w:rFonts w:ascii="Arial" w:hAnsi="Arial"/>
          <w:b/>
          <w:kern w:val="2"/>
          <w:sz w:val="40"/>
          <w:szCs w:val="40"/>
          <w:lang w:val="en-AU" w:eastAsia="en-AU"/>
          <w14:ligatures w14:val="standardContextual"/>
        </w:rPr>
        <w:t>Residential Parks</w:t>
      </w:r>
    </w:p>
    <w:p w14:paraId="4C865E61" w14:textId="55E07152" w:rsidR="0013608C" w:rsidRDefault="0013608C" w:rsidP="0013608C">
      <w:pPr>
        <w:overflowPunct/>
        <w:autoSpaceDE/>
        <w:autoSpaceDN/>
        <w:adjustRightInd/>
        <w:spacing w:before="120" w:after="120"/>
        <w:jc w:val="both"/>
        <w:textAlignment w:val="auto"/>
        <w:rPr>
          <w:rFonts w:ascii="Arial" w:eastAsia="Aptos" w:hAnsi="Arial"/>
          <w:kern w:val="2"/>
          <w:sz w:val="24"/>
          <w:szCs w:val="24"/>
          <w:lang w:val="en-AU" w:eastAsia="en-AU"/>
          <w14:ligatures w14:val="standardContextual"/>
        </w:rPr>
      </w:pPr>
      <w:r w:rsidRPr="0013608C">
        <w:rPr>
          <w:rFonts w:ascii="Arial" w:eastAsia="Aptos" w:hAnsi="Arial"/>
          <w:kern w:val="2"/>
          <w:sz w:val="24"/>
          <w:szCs w:val="24"/>
          <w:lang w:val="en-AU" w:eastAsia="en-AU"/>
          <w14:ligatures w14:val="standardContextual"/>
        </w:rPr>
        <w:t>(</w:t>
      </w:r>
      <w:r w:rsidR="00511CBE" w:rsidRPr="00511CBE">
        <w:rPr>
          <w:rFonts w:ascii="Arial" w:eastAsia="Aptos" w:hAnsi="Arial"/>
          <w:kern w:val="2"/>
          <w:sz w:val="24"/>
          <w:szCs w:val="24"/>
          <w:lang w:val="en-AU" w:eastAsia="en-AU"/>
          <w14:ligatures w14:val="standardContextual"/>
        </w:rPr>
        <w:t>Legislation effective from 8 October 2026</w:t>
      </w:r>
      <w:r w:rsidRPr="0013608C">
        <w:rPr>
          <w:rFonts w:ascii="Arial" w:eastAsia="Aptos" w:hAnsi="Arial"/>
          <w:kern w:val="2"/>
          <w:sz w:val="24"/>
          <w:szCs w:val="24"/>
          <w:lang w:val="en-AU" w:eastAsia="en-AU"/>
          <w14:ligatures w14:val="standardContextual"/>
        </w:rPr>
        <w:t>)</w:t>
      </w:r>
    </w:p>
    <w:tbl>
      <w:tblPr>
        <w:tblStyle w:val="TableGrid1"/>
        <w:tblW w:w="9072" w:type="dxa"/>
        <w:tblInd w:w="-5" w:type="dxa"/>
        <w:tblLook w:val="04A0" w:firstRow="1" w:lastRow="0" w:firstColumn="1" w:lastColumn="0" w:noHBand="0" w:noVBand="1"/>
      </w:tblPr>
      <w:tblGrid>
        <w:gridCol w:w="9072"/>
      </w:tblGrid>
      <w:tr w:rsidR="0013608C" w:rsidRPr="0013608C" w14:paraId="569FF5C3" w14:textId="77777777" w:rsidTr="00154A0F">
        <w:trPr>
          <w:trHeight w:val="163"/>
        </w:trPr>
        <w:tc>
          <w:tcPr>
            <w:tcW w:w="9072" w:type="dxa"/>
            <w:shd w:val="clear" w:color="auto" w:fill="4F758B"/>
          </w:tcPr>
          <w:p w14:paraId="25EB8026" w14:textId="77777777" w:rsidR="0013608C" w:rsidRPr="0013608C" w:rsidRDefault="0013608C" w:rsidP="0013608C">
            <w:pPr>
              <w:overflowPunct/>
              <w:autoSpaceDE/>
              <w:autoSpaceDN/>
              <w:adjustRightInd/>
              <w:spacing w:before="120" w:after="240"/>
              <w:contextualSpacing/>
              <w:jc w:val="both"/>
              <w:textAlignment w:val="auto"/>
              <w:rPr>
                <w:rFonts w:ascii="Arial" w:eastAsia="Aptos" w:hAnsi="Arial" w:cs="Arial"/>
                <w:b/>
                <w:bCs/>
                <w:color w:val="FFFFFF"/>
                <w:sz w:val="36"/>
                <w:szCs w:val="36"/>
                <w:lang w:val="en-AU"/>
              </w:rPr>
            </w:pPr>
            <w:bookmarkStart w:id="0" w:name="_Hlk218781206"/>
            <w:r w:rsidRPr="0013608C">
              <w:rPr>
                <w:rFonts w:ascii="Arial" w:eastAsia="Aptos" w:hAnsi="Arial" w:cs="Arial"/>
                <w:b/>
                <w:bCs/>
                <w:color w:val="FFFFFF"/>
                <w:sz w:val="36"/>
                <w:szCs w:val="36"/>
                <w:lang w:val="en-AU"/>
              </w:rPr>
              <w:t>INTRODUCTION</w:t>
            </w:r>
          </w:p>
        </w:tc>
      </w:tr>
      <w:bookmarkEnd w:id="0"/>
    </w:tbl>
    <w:p w14:paraId="04BE5133" w14:textId="77777777" w:rsidR="0013608C" w:rsidRDefault="0013608C" w:rsidP="0013608C">
      <w:pPr>
        <w:rPr>
          <w:rFonts w:ascii="Arial" w:hAnsi="Arial" w:cs="Arial"/>
          <w:bCs/>
          <w:sz w:val="24"/>
          <w:szCs w:val="24"/>
          <w:lang w:val="en-AU" w:eastAsia="en-AU"/>
        </w:rPr>
      </w:pPr>
    </w:p>
    <w:p w14:paraId="1A1C3DF8" w14:textId="6082DBC5" w:rsidR="0013608C" w:rsidRPr="00F851E6" w:rsidRDefault="0013608C" w:rsidP="00F851E6">
      <w:pPr>
        <w:jc w:val="both"/>
        <w:rPr>
          <w:rFonts w:ascii="Arial" w:eastAsia="Aptos" w:hAnsi="Arial" w:cs="Arial"/>
          <w:color w:val="000000" w:themeColor="text1"/>
          <w:kern w:val="2"/>
          <w:sz w:val="24"/>
          <w:szCs w:val="24"/>
          <w:lang w:val="en-AU"/>
          <w14:ligatures w14:val="standardContextual"/>
        </w:rPr>
      </w:pPr>
      <w:r w:rsidRPr="00F851E6">
        <w:rPr>
          <w:rFonts w:ascii="Arial" w:eastAsia="Aptos" w:hAnsi="Arial" w:cs="Arial"/>
          <w:color w:val="000000" w:themeColor="text1"/>
          <w:kern w:val="2"/>
          <w:sz w:val="24"/>
          <w:szCs w:val="24"/>
          <w:lang w:val="en-AU"/>
          <w14:ligatures w14:val="standardContextual"/>
        </w:rPr>
        <w:t xml:space="preserve">The </w:t>
      </w:r>
      <w:r w:rsidRPr="00F851E6">
        <w:rPr>
          <w:rFonts w:ascii="Arial" w:eastAsia="Aptos" w:hAnsi="Arial" w:cs="Arial"/>
          <w:i/>
          <w:iCs/>
          <w:color w:val="000000" w:themeColor="text1"/>
          <w:kern w:val="2"/>
          <w:sz w:val="24"/>
          <w:szCs w:val="24"/>
          <w:lang w:val="en-AU"/>
          <w14:ligatures w14:val="standardContextual"/>
        </w:rPr>
        <w:t>Residential Parks Act 2026</w:t>
      </w:r>
      <w:r w:rsidRPr="00F851E6">
        <w:rPr>
          <w:rFonts w:ascii="Arial" w:eastAsia="Aptos" w:hAnsi="Arial" w:cs="Arial"/>
          <w:color w:val="000000" w:themeColor="text1"/>
          <w:kern w:val="2"/>
          <w:sz w:val="24"/>
          <w:szCs w:val="24"/>
          <w:lang w:val="en-AU"/>
          <w14:ligatures w14:val="standardContextual"/>
        </w:rPr>
        <w:t xml:space="preserve"> (the Act) establishes a framework regulating residential parks and residential park agreements in Tasmania. The Act sets out the rights and obligations of park owners and residents and provides processes for dealing with matters including residential park agreements, rent, security deposits, park rules, termination of agreements, abandoned property and disputes between park owners and residents. </w:t>
      </w:r>
    </w:p>
    <w:p w14:paraId="3B8888EE" w14:textId="77777777" w:rsidR="00DC7761" w:rsidRPr="00F851E6" w:rsidRDefault="00DC7761" w:rsidP="00F95A19">
      <w:pPr>
        <w:rPr>
          <w:rFonts w:ascii="Arial" w:eastAsia="Aptos" w:hAnsi="Arial" w:cs="Arial"/>
          <w:color w:val="000000" w:themeColor="text1"/>
          <w:kern w:val="2"/>
          <w:sz w:val="24"/>
          <w:szCs w:val="24"/>
          <w:lang w:val="en-AU"/>
          <w14:ligatures w14:val="standardContextual"/>
        </w:rPr>
      </w:pPr>
    </w:p>
    <w:p w14:paraId="4882243E" w14:textId="77777777" w:rsidR="0013608C" w:rsidRPr="00F851E6" w:rsidRDefault="0013608C" w:rsidP="00F851E6">
      <w:pPr>
        <w:overflowPunct/>
        <w:autoSpaceDE/>
        <w:autoSpaceDN/>
        <w:adjustRightInd/>
        <w:spacing w:after="160"/>
        <w:jc w:val="both"/>
        <w:textAlignment w:val="auto"/>
        <w:rPr>
          <w:rFonts w:ascii="Arial" w:eastAsia="Aptos" w:hAnsi="Arial" w:cs="Arial"/>
          <w:color w:val="000000" w:themeColor="text1"/>
          <w:kern w:val="2"/>
          <w:sz w:val="24"/>
          <w:szCs w:val="24"/>
          <w:lang w:val="en-AU"/>
          <w14:ligatures w14:val="standardContextual"/>
        </w:rPr>
      </w:pPr>
      <w:r w:rsidRPr="00F851E6">
        <w:rPr>
          <w:rFonts w:ascii="Arial" w:eastAsia="Aptos" w:hAnsi="Arial" w:cs="Arial"/>
          <w:color w:val="000000" w:themeColor="text1"/>
          <w:kern w:val="2"/>
          <w:sz w:val="24"/>
          <w:szCs w:val="24"/>
          <w:lang w:val="en-AU"/>
          <w14:ligatures w14:val="standardContextual"/>
        </w:rPr>
        <w:t xml:space="preserve">The Act also gives the Tasmanian Civil and Administrative Tribunal (TASCAT) jurisdiction to hear and determine residential park disputes and provides for a range of applications to be made to the Tribunal. </w:t>
      </w:r>
    </w:p>
    <w:p w14:paraId="43B52D7F" w14:textId="77777777" w:rsidR="0013608C" w:rsidRDefault="0013608C"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13608C">
        <w:rPr>
          <w:rFonts w:ascii="Arial" w:eastAsia="Aptos" w:hAnsi="Arial" w:cs="Arial"/>
          <w:kern w:val="2"/>
          <w:sz w:val="24"/>
          <w:szCs w:val="24"/>
          <w:lang w:val="en-AU"/>
          <w14:ligatures w14:val="standardContextual"/>
        </w:rPr>
        <w:t xml:space="preserve">This information sheet explains the types of residential park </w:t>
      </w:r>
      <w:proofErr w:type="gramStart"/>
      <w:r w:rsidRPr="0013608C">
        <w:rPr>
          <w:rFonts w:ascii="Arial" w:eastAsia="Aptos" w:hAnsi="Arial" w:cs="Arial"/>
          <w:kern w:val="2"/>
          <w:sz w:val="24"/>
          <w:szCs w:val="24"/>
          <w:lang w:val="en-AU"/>
          <w14:ligatures w14:val="standardContextual"/>
        </w:rPr>
        <w:t>matters</w:t>
      </w:r>
      <w:proofErr w:type="gramEnd"/>
      <w:r w:rsidRPr="0013608C">
        <w:rPr>
          <w:rFonts w:ascii="Arial" w:eastAsia="Aptos" w:hAnsi="Arial" w:cs="Arial"/>
          <w:kern w:val="2"/>
          <w:sz w:val="24"/>
          <w:szCs w:val="24"/>
          <w:lang w:val="en-AU"/>
          <w14:ligatures w14:val="standardContextual"/>
        </w:rPr>
        <w:t xml:space="preserve"> that may be brought before TASCAT, who may make an application and when, how to make an application, the orders that the Tribunal may make, and what generally happens after an application is lodged.</w:t>
      </w:r>
    </w:p>
    <w:tbl>
      <w:tblPr>
        <w:tblStyle w:val="TableGrid1"/>
        <w:tblW w:w="9072" w:type="dxa"/>
        <w:tblInd w:w="-5" w:type="dxa"/>
        <w:tblLook w:val="04A0" w:firstRow="1" w:lastRow="0" w:firstColumn="1" w:lastColumn="0" w:noHBand="0" w:noVBand="1"/>
      </w:tblPr>
      <w:tblGrid>
        <w:gridCol w:w="9072"/>
      </w:tblGrid>
      <w:tr w:rsidR="00315795" w:rsidRPr="0013608C" w14:paraId="04DB084A" w14:textId="77777777" w:rsidTr="00154A0F">
        <w:trPr>
          <w:trHeight w:val="163"/>
        </w:trPr>
        <w:tc>
          <w:tcPr>
            <w:tcW w:w="9072" w:type="dxa"/>
            <w:shd w:val="clear" w:color="auto" w:fill="4F758B"/>
          </w:tcPr>
          <w:p w14:paraId="7A82BEB4" w14:textId="4468A1F3" w:rsidR="00315795" w:rsidRPr="0013608C" w:rsidRDefault="00315795" w:rsidP="00154A0F">
            <w:pPr>
              <w:overflowPunct/>
              <w:autoSpaceDE/>
              <w:autoSpaceDN/>
              <w:adjustRightInd/>
              <w:spacing w:before="120" w:after="240"/>
              <w:contextualSpacing/>
              <w:jc w:val="both"/>
              <w:textAlignment w:val="auto"/>
              <w:rPr>
                <w:rFonts w:ascii="Arial" w:eastAsia="Aptos" w:hAnsi="Arial" w:cs="Arial"/>
                <w:b/>
                <w:bCs/>
                <w:color w:val="FFFFFF"/>
                <w:sz w:val="36"/>
                <w:szCs w:val="36"/>
                <w:lang w:val="en-AU"/>
              </w:rPr>
            </w:pPr>
            <w:r>
              <w:rPr>
                <w:rFonts w:ascii="Arial" w:eastAsia="Aptos" w:hAnsi="Arial" w:cs="Arial"/>
                <w:b/>
                <w:bCs/>
                <w:color w:val="FFFFFF"/>
                <w:sz w:val="36"/>
                <w:szCs w:val="36"/>
                <w:lang w:val="en-AU"/>
              </w:rPr>
              <w:t>IMPORTANT INFORMATION</w:t>
            </w:r>
          </w:p>
        </w:tc>
      </w:tr>
    </w:tbl>
    <w:p w14:paraId="3FFE3935" w14:textId="77777777" w:rsidR="00315795" w:rsidRDefault="00315795" w:rsidP="00315795">
      <w:pPr>
        <w:overflowPunct/>
        <w:autoSpaceDE/>
        <w:autoSpaceDN/>
        <w:adjustRightInd/>
        <w:spacing w:before="240"/>
        <w:jc w:val="both"/>
        <w:textAlignment w:val="auto"/>
        <w:rPr>
          <w:rFonts w:ascii="Arial" w:hAnsi="Arial" w:cs="Arial"/>
          <w:bCs/>
          <w:sz w:val="24"/>
          <w:szCs w:val="24"/>
          <w:lang w:val="en-AU" w:eastAsia="en-AU"/>
        </w:rPr>
      </w:pPr>
      <w:r w:rsidRPr="00315795">
        <w:rPr>
          <w:rFonts w:ascii="Arial" w:hAnsi="Arial" w:cs="Arial"/>
          <w:bCs/>
          <w:sz w:val="24"/>
          <w:szCs w:val="24"/>
          <w:lang w:val="en-AU" w:eastAsia="en-AU"/>
        </w:rPr>
        <w:t xml:space="preserve">The Act does not apply to every agreement concerning accommodation in a caravan or residential park. Broadly, it applies to agreements giving a person a right to occupy a site in a residential park as their principal place of residence where the right of occupation is for 90 days or longer, including certain consecutive agreements that together provide a right of occupation for 90 days or longer. The Act also identifies agreements to which it does not apply, including holiday accommodation and residential tenancy agreements under the </w:t>
      </w:r>
      <w:r w:rsidRPr="00315795">
        <w:rPr>
          <w:rFonts w:ascii="Arial" w:hAnsi="Arial" w:cs="Arial"/>
          <w:bCs/>
          <w:i/>
          <w:iCs/>
          <w:sz w:val="24"/>
          <w:szCs w:val="24"/>
          <w:lang w:val="en-AU" w:eastAsia="en-AU"/>
        </w:rPr>
        <w:t>Residential Tenancy Act 1997</w:t>
      </w:r>
      <w:r w:rsidRPr="00315795">
        <w:rPr>
          <w:rFonts w:ascii="Arial" w:hAnsi="Arial" w:cs="Arial"/>
          <w:bCs/>
          <w:sz w:val="24"/>
          <w:szCs w:val="24"/>
          <w:lang w:val="en-AU" w:eastAsia="en-AU"/>
        </w:rPr>
        <w:t xml:space="preserve">. </w:t>
      </w:r>
    </w:p>
    <w:p w14:paraId="6DE80C68" w14:textId="77777777" w:rsidR="00F95A19" w:rsidRDefault="00F95A19" w:rsidP="00F95A19">
      <w:pPr>
        <w:overflowPunct/>
        <w:autoSpaceDE/>
        <w:autoSpaceDN/>
        <w:adjustRightInd/>
        <w:jc w:val="both"/>
        <w:textAlignment w:val="auto"/>
        <w:rPr>
          <w:rFonts w:ascii="Arial" w:hAnsi="Arial" w:cs="Arial"/>
          <w:bCs/>
          <w:sz w:val="24"/>
          <w:szCs w:val="24"/>
          <w:lang w:val="en-AU" w:eastAsia="en-AU"/>
        </w:rPr>
      </w:pPr>
    </w:p>
    <w:p w14:paraId="23FD375B" w14:textId="5756FD2C" w:rsidR="00367CB4" w:rsidRDefault="00315795" w:rsidP="00F851E6">
      <w:pPr>
        <w:overflowPunct/>
        <w:autoSpaceDE/>
        <w:autoSpaceDN/>
        <w:adjustRightInd/>
        <w:spacing w:after="240"/>
        <w:jc w:val="both"/>
        <w:textAlignment w:val="auto"/>
        <w:rPr>
          <w:rFonts w:ascii="Arial" w:hAnsi="Arial" w:cs="Arial"/>
          <w:bCs/>
          <w:sz w:val="24"/>
          <w:szCs w:val="24"/>
          <w:lang w:val="en-AU" w:eastAsia="en-AU"/>
        </w:rPr>
      </w:pPr>
      <w:r w:rsidRPr="00315795">
        <w:rPr>
          <w:rFonts w:ascii="Arial" w:hAnsi="Arial" w:cs="Arial"/>
          <w:bCs/>
          <w:sz w:val="24"/>
          <w:szCs w:val="24"/>
          <w:lang w:val="en-AU" w:eastAsia="en-AU"/>
        </w:rPr>
        <w:t xml:space="preserve">The Tribunal and Registry staff cannot provide legal advice about whether the Act applies to your </w:t>
      </w:r>
      <w:proofErr w:type="gramStart"/>
      <w:r w:rsidRPr="00315795">
        <w:rPr>
          <w:rFonts w:ascii="Arial" w:hAnsi="Arial" w:cs="Arial"/>
          <w:bCs/>
          <w:sz w:val="24"/>
          <w:szCs w:val="24"/>
          <w:lang w:val="en-AU" w:eastAsia="en-AU"/>
        </w:rPr>
        <w:t>particular circumstances</w:t>
      </w:r>
      <w:proofErr w:type="gramEnd"/>
      <w:r w:rsidRPr="00315795">
        <w:rPr>
          <w:rFonts w:ascii="Arial" w:hAnsi="Arial" w:cs="Arial"/>
          <w:bCs/>
          <w:sz w:val="24"/>
          <w:szCs w:val="24"/>
          <w:lang w:val="en-AU" w:eastAsia="en-AU"/>
        </w:rPr>
        <w:t xml:space="preserve"> or about the merits of an application. You may wish to obtain independent legal advice if you are unsure about your rights or obligations.</w:t>
      </w:r>
    </w:p>
    <w:tbl>
      <w:tblPr>
        <w:tblStyle w:val="TableGrid"/>
        <w:tblW w:w="9072" w:type="dxa"/>
        <w:tblInd w:w="-5" w:type="dxa"/>
        <w:tblLook w:val="04A0" w:firstRow="1" w:lastRow="0" w:firstColumn="1" w:lastColumn="0" w:noHBand="0" w:noVBand="1"/>
      </w:tblPr>
      <w:tblGrid>
        <w:gridCol w:w="9072"/>
      </w:tblGrid>
      <w:tr w:rsidR="00315795" w:rsidRPr="00464888" w14:paraId="1E0D23E5" w14:textId="77777777" w:rsidTr="00154A0F">
        <w:trPr>
          <w:trHeight w:val="163"/>
        </w:trPr>
        <w:tc>
          <w:tcPr>
            <w:tcW w:w="9072" w:type="dxa"/>
            <w:shd w:val="clear" w:color="auto" w:fill="4F758B"/>
          </w:tcPr>
          <w:p w14:paraId="4AE71493" w14:textId="77777777" w:rsidR="00315795" w:rsidRPr="00315795" w:rsidRDefault="00315795" w:rsidP="00154A0F">
            <w:pPr>
              <w:spacing w:before="120" w:after="240"/>
              <w:contextualSpacing/>
              <w:jc w:val="both"/>
              <w:rPr>
                <w:rFonts w:ascii="Arial" w:hAnsi="Arial" w:cs="Arial"/>
                <w:b/>
                <w:bCs/>
                <w:color w:val="FFFFFF"/>
                <w:sz w:val="36"/>
                <w:szCs w:val="36"/>
              </w:rPr>
            </w:pPr>
            <w:r w:rsidRPr="00315795">
              <w:rPr>
                <w:rFonts w:ascii="Arial" w:hAnsi="Arial" w:cs="Arial"/>
                <w:b/>
                <w:bCs/>
                <w:color w:val="FFFFFF"/>
                <w:sz w:val="36"/>
                <w:szCs w:val="36"/>
              </w:rPr>
              <w:t>AT A GLANCE</w:t>
            </w:r>
          </w:p>
        </w:tc>
      </w:tr>
    </w:tbl>
    <w:p w14:paraId="0815C997" w14:textId="77777777" w:rsidR="00315795" w:rsidRDefault="00315795" w:rsidP="00315795">
      <w:pPr>
        <w:rPr>
          <w:rFonts w:ascii="Arial" w:hAnsi="Arial" w:cs="Arial"/>
          <w:sz w:val="24"/>
          <w:szCs w:val="24"/>
        </w:rPr>
      </w:pPr>
    </w:p>
    <w:p w14:paraId="2F3BB5FE" w14:textId="3F3B52A8" w:rsidR="00315795" w:rsidRDefault="00315795" w:rsidP="00315795">
      <w:pPr>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 xml:space="preserve">Under the </w:t>
      </w:r>
      <w:r w:rsidR="00AC68C4" w:rsidRPr="00025E34">
        <w:rPr>
          <w:rFonts w:ascii="Arial" w:eastAsia="Aptos" w:hAnsi="Arial" w:cs="Arial"/>
          <w:kern w:val="2"/>
          <w:sz w:val="24"/>
          <w:szCs w:val="24"/>
          <w:lang w:val="en-AU"/>
          <w14:ligatures w14:val="standardContextual"/>
        </w:rPr>
        <w:t>Act</w:t>
      </w:r>
      <w:r w:rsidRPr="00315795">
        <w:rPr>
          <w:rFonts w:ascii="Arial" w:eastAsia="Aptos" w:hAnsi="Arial" w:cs="Arial"/>
          <w:kern w:val="2"/>
          <w:sz w:val="24"/>
          <w:szCs w:val="24"/>
          <w:lang w:val="en-AU"/>
          <w14:ligatures w14:val="standardContextual"/>
        </w:rPr>
        <w:t>, TASCAT may hear and determine a range of residential park matters. These include applications concerning:</w:t>
      </w:r>
    </w:p>
    <w:p w14:paraId="2F7B53B6" w14:textId="77777777" w:rsidR="00DC7761" w:rsidRPr="00315795" w:rsidRDefault="00DC7761" w:rsidP="00315795">
      <w:pPr>
        <w:rPr>
          <w:rFonts w:ascii="Arial" w:eastAsia="Aptos" w:hAnsi="Arial" w:cs="Arial"/>
          <w:kern w:val="2"/>
          <w:sz w:val="24"/>
          <w:szCs w:val="24"/>
          <w:lang w:val="en-AU"/>
          <w14:ligatures w14:val="standardContextual"/>
        </w:rPr>
      </w:pPr>
    </w:p>
    <w:p w14:paraId="20C1A99E"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disagreements about the variation of certain residential park agreements following a review;</w:t>
      </w:r>
    </w:p>
    <w:p w14:paraId="4094CBCB" w14:textId="76C25C5A" w:rsidR="00315795" w:rsidRPr="00315795" w:rsidRDefault="00D369A0"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Pr>
          <w:rFonts w:ascii="Arial" w:eastAsia="Aptos" w:hAnsi="Arial" w:cs="Arial"/>
          <w:kern w:val="2"/>
          <w:sz w:val="24"/>
          <w:szCs w:val="24"/>
          <w:lang w:val="en-AU"/>
          <w14:ligatures w14:val="standardContextual"/>
        </w:rPr>
        <w:lastRenderedPageBreak/>
        <w:t xml:space="preserve">potential </w:t>
      </w:r>
      <w:r w:rsidR="00315795" w:rsidRPr="00315795">
        <w:rPr>
          <w:rFonts w:ascii="Arial" w:eastAsia="Aptos" w:hAnsi="Arial" w:cs="Arial"/>
          <w:kern w:val="2"/>
          <w:sz w:val="24"/>
          <w:szCs w:val="24"/>
          <w:lang w:val="en-AU"/>
          <w14:ligatures w14:val="standardContextual"/>
        </w:rPr>
        <w:t>excessive rent increases;</w:t>
      </w:r>
    </w:p>
    <w:p w14:paraId="275B09D5"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disputes about which body or committee is the residents committee for a residential park;</w:t>
      </w:r>
    </w:p>
    <w:p w14:paraId="6A94F71C"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approval to terminate a residential park agreement in certain circumstances;</w:t>
      </w:r>
    </w:p>
    <w:p w14:paraId="6FD8D8FE"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consent to enter into a new residential park agreement following certain sale-based terminations;</w:t>
      </w:r>
    </w:p>
    <w:p w14:paraId="6D0970B9"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disputes relating to a proposed change of use or redevelopment of a residential park;</w:t>
      </w:r>
    </w:p>
    <w:p w14:paraId="1E364B24"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termination of residential park agreements and disputes about termination notices;</w:t>
      </w:r>
    </w:p>
    <w:p w14:paraId="23ED6724"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 xml:space="preserve">disputes concerning </w:t>
      </w:r>
      <w:proofErr w:type="gramStart"/>
      <w:r w:rsidRPr="00315795">
        <w:rPr>
          <w:rFonts w:ascii="Arial" w:eastAsia="Aptos" w:hAnsi="Arial" w:cs="Arial"/>
          <w:kern w:val="2"/>
          <w:sz w:val="24"/>
          <w:szCs w:val="24"/>
          <w:lang w:val="en-AU"/>
          <w14:ligatures w14:val="standardContextual"/>
        </w:rPr>
        <w:t>valuable abandoned</w:t>
      </w:r>
      <w:proofErr w:type="gramEnd"/>
      <w:r w:rsidRPr="00315795">
        <w:rPr>
          <w:rFonts w:ascii="Arial" w:eastAsia="Aptos" w:hAnsi="Arial" w:cs="Arial"/>
          <w:kern w:val="2"/>
          <w:sz w:val="24"/>
          <w:szCs w:val="24"/>
          <w:lang w:val="en-AU"/>
          <w14:ligatures w14:val="standardContextual"/>
        </w:rPr>
        <w:t xml:space="preserve"> property;</w:t>
      </w:r>
    </w:p>
    <w:p w14:paraId="659A995B"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unreasonable park rules;</w:t>
      </w:r>
    </w:p>
    <w:p w14:paraId="76FA2A9F"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unfair or unconscionable terms of a residential park agreement;</w:t>
      </w:r>
    </w:p>
    <w:p w14:paraId="76420B8C"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urgent termination applications following a notice to leave;</w:t>
      </w:r>
    </w:p>
    <w:p w14:paraId="5EC1E861"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a park owner's refusal to transfer a residential park agreement;</w:t>
      </w:r>
    </w:p>
    <w:p w14:paraId="4FFCA814"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decisions about the disbursement of security deposits;</w:t>
      </w:r>
    </w:p>
    <w:p w14:paraId="2AC8F51D"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possession and abandonment of rented property;</w:t>
      </w:r>
    </w:p>
    <w:p w14:paraId="7A7017F2"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enforcement of possession orders; and</w:t>
      </w:r>
    </w:p>
    <w:p w14:paraId="3953AAE1" w14:textId="77777777" w:rsidR="00315795" w:rsidRPr="00315795" w:rsidRDefault="00315795" w:rsidP="00F851E6">
      <w:pPr>
        <w:numPr>
          <w:ilvl w:val="0"/>
          <w:numId w:val="32"/>
        </w:numPr>
        <w:overflowPunct/>
        <w:autoSpaceDE/>
        <w:autoSpaceDN/>
        <w:adjustRightInd/>
        <w:spacing w:after="160"/>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 xml:space="preserve">retaliatory action by a park owner. </w:t>
      </w:r>
    </w:p>
    <w:p w14:paraId="59CF5F44" w14:textId="77777777" w:rsidR="00315795" w:rsidRDefault="00315795"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 xml:space="preserve">Residential Park disputes are dealt with in the Civil and Consumer Stream of TASCAT's General Division. </w:t>
      </w:r>
    </w:p>
    <w:tbl>
      <w:tblPr>
        <w:tblStyle w:val="TableGrid"/>
        <w:tblW w:w="9072" w:type="dxa"/>
        <w:tblInd w:w="-5" w:type="dxa"/>
        <w:tblLook w:val="04A0" w:firstRow="1" w:lastRow="0" w:firstColumn="1" w:lastColumn="0" w:noHBand="0" w:noVBand="1"/>
      </w:tblPr>
      <w:tblGrid>
        <w:gridCol w:w="9072"/>
      </w:tblGrid>
      <w:tr w:rsidR="00315795" w:rsidRPr="00464888" w14:paraId="063CF77B" w14:textId="77777777" w:rsidTr="00154A0F">
        <w:trPr>
          <w:trHeight w:val="163"/>
        </w:trPr>
        <w:tc>
          <w:tcPr>
            <w:tcW w:w="9072" w:type="dxa"/>
            <w:shd w:val="clear" w:color="auto" w:fill="4F758B"/>
          </w:tcPr>
          <w:p w14:paraId="59C56EEA" w14:textId="41B041EF" w:rsidR="00315795" w:rsidRPr="00315795" w:rsidRDefault="00315795" w:rsidP="00154A0F">
            <w:pPr>
              <w:spacing w:before="120" w:after="240"/>
              <w:contextualSpacing/>
              <w:jc w:val="both"/>
              <w:rPr>
                <w:rFonts w:ascii="Arial" w:hAnsi="Arial" w:cs="Arial"/>
                <w:b/>
                <w:bCs/>
                <w:color w:val="FFFFFF"/>
                <w:sz w:val="36"/>
                <w:szCs w:val="36"/>
              </w:rPr>
            </w:pPr>
            <w:r w:rsidRPr="00315795">
              <w:rPr>
                <w:rFonts w:ascii="Arial" w:hAnsi="Arial" w:cs="Arial"/>
                <w:b/>
                <w:bCs/>
                <w:color w:val="FFFFFF"/>
                <w:sz w:val="36"/>
                <w:szCs w:val="36"/>
              </w:rPr>
              <w:t>UNDERSTANDING RESIDENTIAL PARK MATTERS</w:t>
            </w:r>
          </w:p>
        </w:tc>
      </w:tr>
    </w:tbl>
    <w:p w14:paraId="6B98201B" w14:textId="77777777" w:rsidR="00315795" w:rsidRDefault="00315795" w:rsidP="00315795">
      <w:pPr>
        <w:rPr>
          <w:rFonts w:ascii="Arial" w:eastAsia="Aptos" w:hAnsi="Arial" w:cs="Arial"/>
          <w:b/>
          <w:bCs/>
          <w:kern w:val="2"/>
          <w:sz w:val="24"/>
          <w:szCs w:val="24"/>
          <w:lang w:val="en-AU"/>
          <w14:ligatures w14:val="standardContextual"/>
        </w:rPr>
      </w:pPr>
    </w:p>
    <w:p w14:paraId="3810022E" w14:textId="2C8B0052" w:rsidR="00315795" w:rsidRDefault="00315795" w:rsidP="00315795">
      <w:pPr>
        <w:rPr>
          <w:rFonts w:ascii="Arial" w:eastAsia="Aptos" w:hAnsi="Arial" w:cs="Arial"/>
          <w:b/>
          <w:bCs/>
          <w:kern w:val="2"/>
          <w:sz w:val="24"/>
          <w:szCs w:val="24"/>
          <w:lang w:val="en-AU"/>
          <w14:ligatures w14:val="standardContextual"/>
        </w:rPr>
      </w:pPr>
      <w:r w:rsidRPr="00315795">
        <w:rPr>
          <w:rFonts w:ascii="Arial" w:eastAsia="Aptos" w:hAnsi="Arial" w:cs="Arial"/>
          <w:b/>
          <w:bCs/>
          <w:kern w:val="2"/>
          <w:sz w:val="24"/>
          <w:szCs w:val="24"/>
          <w:lang w:val="en-AU"/>
          <w14:ligatures w14:val="standardContextual"/>
        </w:rPr>
        <w:t>What is a Residential Park?</w:t>
      </w:r>
    </w:p>
    <w:p w14:paraId="2A74E4FA" w14:textId="77777777" w:rsidR="00DC7761" w:rsidRPr="00315795" w:rsidRDefault="00DC7761" w:rsidP="00315795">
      <w:pPr>
        <w:rPr>
          <w:rFonts w:ascii="Arial" w:eastAsia="Aptos" w:hAnsi="Arial" w:cs="Arial"/>
          <w:b/>
          <w:bCs/>
          <w:kern w:val="2"/>
          <w:sz w:val="24"/>
          <w:szCs w:val="24"/>
          <w:lang w:val="en-AU"/>
          <w14:ligatures w14:val="standardContextual"/>
        </w:rPr>
      </w:pPr>
    </w:p>
    <w:p w14:paraId="59307254" w14:textId="61DED06B" w:rsidR="00315795" w:rsidRPr="00315795" w:rsidRDefault="00315795"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 xml:space="preserve">Under section 3 of the Act, a residential park is an area of land used, or intended to be used, as a complex of sites together with common areas, such as bathrooms, toilets and laundry facilities, where rights of occupancy are given under one or more residential park agreements. </w:t>
      </w:r>
    </w:p>
    <w:p w14:paraId="329EF5A1" w14:textId="77777777" w:rsidR="00315795" w:rsidRPr="00315795" w:rsidRDefault="00315795"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A residential park may include structures or dwellings and may contain sites available for hire other than under a residential park agreement.</w:t>
      </w:r>
    </w:p>
    <w:p w14:paraId="1741F7A9" w14:textId="77777777" w:rsidR="00315795" w:rsidRPr="00315795" w:rsidRDefault="00315795" w:rsidP="00315795">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315795">
        <w:rPr>
          <w:rFonts w:ascii="Arial" w:eastAsia="Aptos" w:hAnsi="Arial" w:cs="Arial"/>
          <w:b/>
          <w:bCs/>
          <w:kern w:val="2"/>
          <w:sz w:val="24"/>
          <w:szCs w:val="24"/>
          <w:lang w:val="en-AU"/>
          <w14:ligatures w14:val="standardContextual"/>
        </w:rPr>
        <w:t>What is a Residential Park Agreement?</w:t>
      </w:r>
    </w:p>
    <w:p w14:paraId="58C6BD86" w14:textId="49B5B39F" w:rsidR="00315795" w:rsidRPr="00315795" w:rsidRDefault="00315795"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 xml:space="preserve">Under section 3(1) of the </w:t>
      </w:r>
      <w:r w:rsidR="00AC68C4" w:rsidRPr="00025E34">
        <w:rPr>
          <w:rFonts w:ascii="Arial" w:eastAsia="Aptos" w:hAnsi="Arial" w:cs="Arial"/>
          <w:kern w:val="2"/>
          <w:sz w:val="24"/>
          <w:szCs w:val="24"/>
          <w:lang w:val="en-AU"/>
          <w14:ligatures w14:val="standardContextual"/>
        </w:rPr>
        <w:t>Act</w:t>
      </w:r>
      <w:r w:rsidRPr="00315795">
        <w:rPr>
          <w:rFonts w:ascii="Arial" w:eastAsia="Aptos" w:hAnsi="Arial" w:cs="Arial"/>
          <w:kern w:val="2"/>
          <w:sz w:val="24"/>
          <w:szCs w:val="24"/>
          <w:lang w:val="en-AU"/>
          <w14:ligatures w14:val="standardContextual"/>
        </w:rPr>
        <w:t xml:space="preserve">, a residential park agreement is an agreement under which, in return for payment or other consideration, a park owner gives a person the right to occupy a site in a residential park and to occupy, install or locate a dwelling on that site for residential purposes. It also includes an agreement connected with such an agreement. </w:t>
      </w:r>
    </w:p>
    <w:p w14:paraId="5B61A12F" w14:textId="19A91D19" w:rsidR="00315795" w:rsidRPr="00315795" w:rsidRDefault="00036247"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Pr>
          <w:rFonts w:ascii="Arial" w:eastAsia="Aptos" w:hAnsi="Arial" w:cs="Arial"/>
          <w:kern w:val="2"/>
          <w:sz w:val="24"/>
          <w:szCs w:val="24"/>
          <w:lang w:val="en-AU"/>
          <w14:ligatures w14:val="standardContextual"/>
        </w:rPr>
        <w:lastRenderedPageBreak/>
        <w:t>S</w:t>
      </w:r>
      <w:r w:rsidR="00315795" w:rsidRPr="00315795">
        <w:rPr>
          <w:rFonts w:ascii="Arial" w:eastAsia="Aptos" w:hAnsi="Arial" w:cs="Arial"/>
          <w:kern w:val="2"/>
          <w:sz w:val="24"/>
          <w:szCs w:val="24"/>
          <w:lang w:val="en-AU"/>
          <w14:ligatures w14:val="standardContextual"/>
        </w:rPr>
        <w:t>ection 4(1) the Act applies to an agreement that gives a person the right to occupy a site in a residential park for 90 days or longer, including where the site is or will be the person’s principal place of residence. It can also apply where consecutive fixed-term agreements together give a person the right to occupy the site for 90 days or longer, and to other prescribed types of agreements.</w:t>
      </w:r>
    </w:p>
    <w:p w14:paraId="4B716A4E" w14:textId="77777777" w:rsidR="00315795" w:rsidRPr="00315795" w:rsidRDefault="00315795" w:rsidP="00315795">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315795">
        <w:rPr>
          <w:rFonts w:ascii="Arial" w:eastAsia="Aptos" w:hAnsi="Arial" w:cs="Arial"/>
          <w:b/>
          <w:bCs/>
          <w:kern w:val="2"/>
          <w:sz w:val="24"/>
          <w:szCs w:val="24"/>
          <w:lang w:val="en-AU"/>
          <w14:ligatures w14:val="standardContextual"/>
        </w:rPr>
        <w:t>What is a Residential Park Dispute?</w:t>
      </w:r>
    </w:p>
    <w:p w14:paraId="59081132" w14:textId="77777777" w:rsidR="00315795" w:rsidRPr="00315795" w:rsidRDefault="00315795"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Section 3 of the Act defines a residential park dispute to include:</w:t>
      </w:r>
    </w:p>
    <w:p w14:paraId="2588835B" w14:textId="77777777" w:rsidR="00315795" w:rsidRPr="00315795" w:rsidRDefault="00315795" w:rsidP="00F851E6">
      <w:pPr>
        <w:numPr>
          <w:ilvl w:val="0"/>
          <w:numId w:val="33"/>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a claim under a residential park agreement;</w:t>
      </w:r>
    </w:p>
    <w:p w14:paraId="01240BE2" w14:textId="77777777" w:rsidR="00315795" w:rsidRPr="00315795" w:rsidRDefault="00315795" w:rsidP="00F851E6">
      <w:pPr>
        <w:numPr>
          <w:ilvl w:val="0"/>
          <w:numId w:val="33"/>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a dispute between parties or former parties to a residential park agreement about matters arising under the agreement or the Act; or</w:t>
      </w:r>
    </w:p>
    <w:p w14:paraId="5EE89E10" w14:textId="77777777" w:rsidR="00315795" w:rsidRPr="00315795" w:rsidRDefault="00315795" w:rsidP="00F851E6">
      <w:pPr>
        <w:numPr>
          <w:ilvl w:val="0"/>
          <w:numId w:val="33"/>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 xml:space="preserve">any matter that may be the subject of an application to TASCAT under the Act. </w:t>
      </w:r>
    </w:p>
    <w:p w14:paraId="1D04B82A" w14:textId="77777777" w:rsidR="00315795" w:rsidRPr="00315795" w:rsidRDefault="00315795"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 xml:space="preserve">Section 95 provides that TASCAT has jurisdiction to hear and determine a residential park dispute. </w:t>
      </w:r>
    </w:p>
    <w:tbl>
      <w:tblPr>
        <w:tblStyle w:val="TableGrid"/>
        <w:tblW w:w="9072" w:type="dxa"/>
        <w:tblInd w:w="-5" w:type="dxa"/>
        <w:tblLook w:val="04A0" w:firstRow="1" w:lastRow="0" w:firstColumn="1" w:lastColumn="0" w:noHBand="0" w:noVBand="1"/>
      </w:tblPr>
      <w:tblGrid>
        <w:gridCol w:w="9072"/>
      </w:tblGrid>
      <w:tr w:rsidR="00315795" w:rsidRPr="00464888" w14:paraId="10FC9F16" w14:textId="77777777" w:rsidTr="00154A0F">
        <w:trPr>
          <w:trHeight w:val="163"/>
        </w:trPr>
        <w:tc>
          <w:tcPr>
            <w:tcW w:w="9072" w:type="dxa"/>
            <w:tcBorders>
              <w:top w:val="single" w:sz="4" w:space="0" w:color="auto"/>
              <w:left w:val="single" w:sz="4" w:space="0" w:color="auto"/>
              <w:bottom w:val="single" w:sz="4" w:space="0" w:color="auto"/>
              <w:right w:val="single" w:sz="4" w:space="0" w:color="auto"/>
            </w:tcBorders>
            <w:shd w:val="clear" w:color="auto" w:fill="4F758B"/>
            <w:hideMark/>
          </w:tcPr>
          <w:p w14:paraId="664C1CE0" w14:textId="1E4FB86D" w:rsidR="00315795" w:rsidRPr="00315795" w:rsidRDefault="00315795" w:rsidP="00154A0F">
            <w:pPr>
              <w:contextualSpacing/>
              <w:jc w:val="both"/>
              <w:rPr>
                <w:rFonts w:ascii="Arial" w:hAnsi="Arial" w:cs="Arial"/>
                <w:b/>
                <w:bCs/>
                <w:color w:val="FFFFFF"/>
                <w:sz w:val="36"/>
                <w:szCs w:val="36"/>
              </w:rPr>
            </w:pPr>
            <w:r w:rsidRPr="00315795">
              <w:rPr>
                <w:rFonts w:ascii="Arial" w:hAnsi="Arial" w:cs="Arial"/>
                <w:b/>
                <w:bCs/>
                <w:color w:val="FFFFFF"/>
                <w:sz w:val="36"/>
                <w:szCs w:val="36"/>
              </w:rPr>
              <w:t>WHAT MATTERS CAN TASCAT DEAL WITH?</w:t>
            </w:r>
          </w:p>
        </w:tc>
      </w:tr>
    </w:tbl>
    <w:p w14:paraId="19EDCCFA" w14:textId="77777777" w:rsidR="00315795" w:rsidRDefault="00315795" w:rsidP="00315795">
      <w:pPr>
        <w:rPr>
          <w:rFonts w:ascii="Arial" w:hAnsi="Arial" w:cs="Arial"/>
          <w:sz w:val="24"/>
          <w:szCs w:val="24"/>
        </w:rPr>
      </w:pPr>
    </w:p>
    <w:p w14:paraId="611A3A68" w14:textId="0F8C7193" w:rsidR="00315795" w:rsidRDefault="00315795" w:rsidP="00315795">
      <w:pPr>
        <w:rPr>
          <w:rFonts w:ascii="Arial" w:eastAsia="Aptos" w:hAnsi="Arial" w:cs="Arial"/>
          <w:b/>
          <w:bCs/>
          <w:kern w:val="2"/>
          <w:sz w:val="24"/>
          <w:szCs w:val="24"/>
          <w:lang w:val="en-AU"/>
          <w14:ligatures w14:val="standardContextual"/>
        </w:rPr>
      </w:pPr>
      <w:r w:rsidRPr="00315795">
        <w:rPr>
          <w:rFonts w:ascii="Arial" w:eastAsia="Aptos" w:hAnsi="Arial" w:cs="Arial"/>
          <w:b/>
          <w:bCs/>
          <w:kern w:val="2"/>
          <w:sz w:val="24"/>
          <w:szCs w:val="24"/>
          <w:lang w:val="en-AU"/>
          <w14:ligatures w14:val="standardContextual"/>
        </w:rPr>
        <w:t>Review and Reissue of Residential Park Agreements</w:t>
      </w:r>
    </w:p>
    <w:p w14:paraId="49FB70B1" w14:textId="77777777" w:rsidR="00455DA1" w:rsidRPr="00315795" w:rsidRDefault="00455DA1" w:rsidP="00315795">
      <w:pPr>
        <w:rPr>
          <w:rFonts w:ascii="Arial" w:eastAsia="Aptos" w:hAnsi="Arial" w:cs="Arial"/>
          <w:b/>
          <w:bCs/>
          <w:kern w:val="2"/>
          <w:sz w:val="24"/>
          <w:szCs w:val="24"/>
          <w:lang w:val="en-AU"/>
          <w14:ligatures w14:val="standardContextual"/>
        </w:rPr>
      </w:pPr>
    </w:p>
    <w:p w14:paraId="463F8A9D" w14:textId="41BB250F" w:rsidR="00315795" w:rsidRPr="00315795" w:rsidRDefault="00315795"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The Act provides for the continuation, review and reissue of certain residential park agreements.</w:t>
      </w:r>
    </w:p>
    <w:p w14:paraId="0EB572EB" w14:textId="77777777" w:rsidR="00315795" w:rsidRDefault="00315795"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315795">
        <w:rPr>
          <w:rFonts w:ascii="Arial" w:eastAsia="Aptos" w:hAnsi="Arial" w:cs="Arial"/>
          <w:kern w:val="2"/>
          <w:sz w:val="24"/>
          <w:szCs w:val="24"/>
          <w:lang w:val="en-AU"/>
          <w14:ligatures w14:val="standardContextual"/>
        </w:rPr>
        <w:t>Under section 35(3), if the parties cannot agree on variations following the review of a long-term fixed agreement, either party may apply to TASCAT for orders. Similarly, under section 36(2), if the parties cannot agree on variations following the review of a long-term periodic agreement, either party may apply to TASCAT for orders.</w:t>
      </w:r>
    </w:p>
    <w:p w14:paraId="2564E2A1" w14:textId="77777777" w:rsidR="007C05DA" w:rsidRPr="007C05DA" w:rsidRDefault="007C05DA" w:rsidP="007C05DA">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7C05DA">
        <w:rPr>
          <w:rFonts w:ascii="Arial" w:eastAsia="Aptos" w:hAnsi="Arial" w:cs="Arial"/>
          <w:b/>
          <w:bCs/>
          <w:kern w:val="2"/>
          <w:sz w:val="24"/>
          <w:szCs w:val="24"/>
          <w:lang w:val="en-AU"/>
          <w14:ligatures w14:val="standardContextual"/>
        </w:rPr>
        <w:t>Excessive Rent Increases</w:t>
      </w:r>
    </w:p>
    <w:p w14:paraId="2A56FC0D" w14:textId="07CE133D"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Under section 52 of the </w:t>
      </w:r>
      <w:r w:rsidR="009D12A6" w:rsidRPr="00025E34">
        <w:rPr>
          <w:rFonts w:ascii="Arial" w:eastAsia="Aptos" w:hAnsi="Arial" w:cs="Arial"/>
          <w:kern w:val="2"/>
          <w:sz w:val="24"/>
          <w:szCs w:val="24"/>
          <w:lang w:val="en-AU"/>
          <w14:ligatures w14:val="standardContextual"/>
        </w:rPr>
        <w:t>Act</w:t>
      </w:r>
      <w:r w:rsidRPr="00025E34">
        <w:rPr>
          <w:rFonts w:ascii="Arial" w:eastAsia="Aptos" w:hAnsi="Arial" w:cs="Arial"/>
          <w:kern w:val="2"/>
          <w:sz w:val="24"/>
          <w:szCs w:val="24"/>
          <w:lang w:val="en-AU"/>
          <w14:ligatures w14:val="standardContextual"/>
        </w:rPr>
        <w:t>,</w:t>
      </w:r>
      <w:r w:rsidRPr="007C05DA">
        <w:rPr>
          <w:rFonts w:ascii="Arial" w:eastAsia="Aptos" w:hAnsi="Arial" w:cs="Arial"/>
          <w:kern w:val="2"/>
          <w:sz w:val="24"/>
          <w:szCs w:val="24"/>
          <w:lang w:val="en-AU"/>
          <w14:ligatures w14:val="standardContextual"/>
        </w:rPr>
        <w:t xml:space="preserve"> a resident may apply to TASCAT to have a proposed rent increase declared excessive. The application must be made within 60 days after the resident receives notice of the increase. </w:t>
      </w:r>
    </w:p>
    <w:p w14:paraId="66105616"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In deciding whether a rent increase is excessive, TASCAT must consider the matters set out in section 52(3), including the rent charged for comparable properties, previous rent increases, relevant rates and charges, the impact of the increase on the resident, the value and condition of the rented property, the park owner's outgoings, the cost of services provided and any other relevant matters. </w:t>
      </w:r>
    </w:p>
    <w:p w14:paraId="1BC38241" w14:textId="77777777" w:rsidR="007C05DA" w:rsidRDefault="007C05DA" w:rsidP="00FA30D9">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If TASCAT finds that the rent increase is excessive, it may declare the increase excessive and fix the rent payable for a period of up to one year, pursuant to section 52(4). Under section 52(5), the park owner may subsequently apply to TASCAT to vary or revoke that order if the Tribunal is satisfied that it is appropriate in the circumstances.</w:t>
      </w:r>
    </w:p>
    <w:p w14:paraId="3668BF8C" w14:textId="77777777" w:rsidR="007C05DA" w:rsidRPr="007C05DA" w:rsidRDefault="007C05DA" w:rsidP="007C05DA">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7C05DA">
        <w:rPr>
          <w:rFonts w:ascii="Arial" w:eastAsia="Aptos" w:hAnsi="Arial" w:cs="Arial"/>
          <w:b/>
          <w:bCs/>
          <w:kern w:val="2"/>
          <w:sz w:val="24"/>
          <w:szCs w:val="24"/>
          <w:lang w:val="en-AU"/>
          <w14:ligatures w14:val="standardContextual"/>
        </w:rPr>
        <w:t>Residents Committee Disputes</w:t>
      </w:r>
    </w:p>
    <w:p w14:paraId="6B891FB8" w14:textId="07C4C5C2"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Under section 61 of the </w:t>
      </w:r>
      <w:r w:rsidR="009D12A6" w:rsidRPr="00025E34">
        <w:rPr>
          <w:rFonts w:ascii="Arial" w:eastAsia="Aptos" w:hAnsi="Arial" w:cs="Arial"/>
          <w:kern w:val="2"/>
          <w:sz w:val="24"/>
          <w:szCs w:val="24"/>
          <w:lang w:val="en-AU"/>
          <w14:ligatures w14:val="standardContextual"/>
        </w:rPr>
        <w:t>Act</w:t>
      </w:r>
      <w:r w:rsidRPr="007C05DA">
        <w:rPr>
          <w:rFonts w:ascii="Arial" w:eastAsia="Aptos" w:hAnsi="Arial" w:cs="Arial"/>
          <w:kern w:val="2"/>
          <w:sz w:val="24"/>
          <w:szCs w:val="24"/>
          <w:lang w:val="en-AU"/>
          <w14:ligatures w14:val="standardContextual"/>
        </w:rPr>
        <w:t>, residents of a residential park may establish a residents committee to represent their common interests.</w:t>
      </w:r>
    </w:p>
    <w:p w14:paraId="0692C916"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lastRenderedPageBreak/>
        <w:t>If more than one body or committee claims to be the residents committee for a residential park, the park owner or a resident may apply to TASCAT to determine which body or committee, if any, is the residents committee for the park, pursuant to section 61(5).</w:t>
      </w:r>
    </w:p>
    <w:p w14:paraId="4839128E" w14:textId="77777777" w:rsidR="007C05DA" w:rsidRPr="007C05DA" w:rsidRDefault="007C05DA" w:rsidP="007C05DA">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7C05DA">
        <w:rPr>
          <w:rFonts w:ascii="Arial" w:eastAsia="Aptos" w:hAnsi="Arial" w:cs="Arial"/>
          <w:b/>
          <w:bCs/>
          <w:kern w:val="2"/>
          <w:sz w:val="24"/>
          <w:szCs w:val="24"/>
          <w:lang w:val="en-AU"/>
          <w14:ligatures w14:val="standardContextual"/>
        </w:rPr>
        <w:t>Termination of Residential Park Agreements</w:t>
      </w:r>
    </w:p>
    <w:p w14:paraId="5089A8F4"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TASCAT has </w:t>
      </w:r>
      <w:proofErr w:type="gramStart"/>
      <w:r w:rsidRPr="007C05DA">
        <w:rPr>
          <w:rFonts w:ascii="Arial" w:eastAsia="Aptos" w:hAnsi="Arial" w:cs="Arial"/>
          <w:kern w:val="2"/>
          <w:sz w:val="24"/>
          <w:szCs w:val="24"/>
          <w:lang w:val="en-AU"/>
          <w14:ligatures w14:val="standardContextual"/>
        </w:rPr>
        <w:t>a number of</w:t>
      </w:r>
      <w:proofErr w:type="gramEnd"/>
      <w:r w:rsidRPr="007C05DA">
        <w:rPr>
          <w:rFonts w:ascii="Arial" w:eastAsia="Aptos" w:hAnsi="Arial" w:cs="Arial"/>
          <w:kern w:val="2"/>
          <w:sz w:val="24"/>
          <w:szCs w:val="24"/>
          <w:lang w:val="en-AU"/>
          <w14:ligatures w14:val="standardContextual"/>
        </w:rPr>
        <w:t xml:space="preserve"> functions relating to the termination of residential park agreements.</w:t>
      </w:r>
    </w:p>
    <w:p w14:paraId="4C236A89" w14:textId="22E3589A"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Under section 73 of the</w:t>
      </w:r>
      <w:r w:rsidRPr="00025E34">
        <w:rPr>
          <w:rFonts w:ascii="Arial" w:eastAsia="Aptos" w:hAnsi="Arial" w:cs="Arial"/>
          <w:kern w:val="2"/>
          <w:sz w:val="24"/>
          <w:szCs w:val="24"/>
          <w:lang w:val="en-AU"/>
          <w14:ligatures w14:val="standardContextual"/>
        </w:rPr>
        <w:t xml:space="preserve"> </w:t>
      </w:r>
      <w:r w:rsidR="009D12A6" w:rsidRPr="00025E34">
        <w:rPr>
          <w:rFonts w:ascii="Arial" w:eastAsia="Aptos" w:hAnsi="Arial" w:cs="Arial"/>
          <w:kern w:val="2"/>
          <w:sz w:val="24"/>
          <w:szCs w:val="24"/>
          <w:lang w:val="en-AU"/>
          <w14:ligatures w14:val="standardContextual"/>
        </w:rPr>
        <w:t>Act</w:t>
      </w:r>
      <w:r w:rsidRPr="007C05DA">
        <w:rPr>
          <w:rFonts w:ascii="Arial" w:eastAsia="Aptos" w:hAnsi="Arial" w:cs="Arial"/>
          <w:kern w:val="2"/>
          <w:sz w:val="24"/>
          <w:szCs w:val="24"/>
          <w:lang w:val="en-AU"/>
          <w14:ligatures w14:val="standardContextual"/>
        </w:rPr>
        <w:t xml:space="preserve">, a park owner must obtain TASCAT’s authorisation before giving a notice of termination in certain circumstances. This applies where the rented property is required to be demolished under another Act, is subject to an order that means it cannot lawfully be occupied, or where an excessive rent order under section 52 is in force or proceedings for such an order have commenced. This requirement does not apply where a fixed-term agreement is being terminated at the end of its fixed term. TASCAT may authorise the notice of termination if satisfied that giving the notice is reasonable in the circumstances. </w:t>
      </w:r>
    </w:p>
    <w:p w14:paraId="05BAF811"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Under section 82, a park owner may apply to TASCAT to terminate a residential park agreement and make an order for possession of the rented property. TASCAT may make these orders if satisfied that the resident has breached the agreement and that the breach is sufficiently serious to justify termination. </w:t>
      </w:r>
    </w:p>
    <w:p w14:paraId="4BFC9F53" w14:textId="0866E8B1" w:rsidR="00455DA1"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Similarly, under section 83, a resident may apply to TASCAT to terminate a residential park agreement and make an order for possession of the rented property. TASCAT may make these orders if satisfied that the park owner has breached the agreement and that the breach is sufficiently serious to justify termination.</w:t>
      </w:r>
    </w:p>
    <w:p w14:paraId="1EFF6FBE" w14:textId="77777777" w:rsidR="007C05DA" w:rsidRPr="007C05DA" w:rsidRDefault="007C05DA" w:rsidP="007C05DA">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7C05DA">
        <w:rPr>
          <w:rFonts w:ascii="Arial" w:eastAsia="Aptos" w:hAnsi="Arial" w:cs="Arial"/>
          <w:b/>
          <w:bCs/>
          <w:kern w:val="2"/>
          <w:sz w:val="24"/>
          <w:szCs w:val="24"/>
          <w:lang w:val="en-AU"/>
          <w14:ligatures w14:val="standardContextual"/>
        </w:rPr>
        <w:t>Termination Because of Hardship</w:t>
      </w:r>
    </w:p>
    <w:p w14:paraId="486E9E12" w14:textId="06CADD79"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Under section 84 of the </w:t>
      </w:r>
      <w:r w:rsidR="009D12A6" w:rsidRPr="00025E34">
        <w:rPr>
          <w:rFonts w:ascii="Arial" w:eastAsia="Aptos" w:hAnsi="Arial" w:cs="Arial"/>
          <w:kern w:val="2"/>
          <w:sz w:val="24"/>
          <w:szCs w:val="24"/>
          <w:lang w:val="en-AU"/>
          <w14:ligatures w14:val="standardContextual"/>
        </w:rPr>
        <w:t>Act</w:t>
      </w:r>
      <w:r w:rsidRPr="007C05DA">
        <w:rPr>
          <w:rFonts w:ascii="Arial" w:eastAsia="Aptos" w:hAnsi="Arial" w:cs="Arial"/>
          <w:kern w:val="2"/>
          <w:sz w:val="24"/>
          <w:szCs w:val="24"/>
          <w:lang w:val="en-AU"/>
          <w14:ligatures w14:val="standardContextual"/>
        </w:rPr>
        <w:t xml:space="preserve">, a park owner or resident may apply to TASCAT to terminate a residential park agreement where continuing the agreement would result in undue hardship. </w:t>
      </w:r>
    </w:p>
    <w:p w14:paraId="56B2EE68"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If TASCAT decides to terminate the agreement, it may specify the date on which the agreement ends and make an order for possession of the rented property. The Tribunal may also order compensation to the park owner or resident for loss and inconvenience resulting, or likely to result, from the early termination of the agreement. </w:t>
      </w:r>
    </w:p>
    <w:p w14:paraId="2970EBC4"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If a dwelling is installed or located on the site, TASCAT may also make orders about the sale, relocation or disposal of the dwelling, the distribution of any sale proceeds, and access to the site for the purpose of selling the dwelling.</w:t>
      </w:r>
    </w:p>
    <w:p w14:paraId="6C118BD4" w14:textId="77777777" w:rsidR="007C05DA" w:rsidRPr="007C05DA" w:rsidRDefault="007C05DA" w:rsidP="007C05DA">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7C05DA">
        <w:rPr>
          <w:rFonts w:ascii="Arial" w:eastAsia="Aptos" w:hAnsi="Arial" w:cs="Arial"/>
          <w:b/>
          <w:bCs/>
          <w:kern w:val="2"/>
          <w:sz w:val="24"/>
          <w:szCs w:val="24"/>
          <w:lang w:val="en-AU"/>
          <w14:ligatures w14:val="standardContextual"/>
        </w:rPr>
        <w:t xml:space="preserve">Change of Use or Redevelopment </w:t>
      </w:r>
    </w:p>
    <w:p w14:paraId="782E24BF" w14:textId="2F9F100C"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Under section 80 of the </w:t>
      </w:r>
      <w:r w:rsidR="009D12A6" w:rsidRPr="00025E34">
        <w:rPr>
          <w:rFonts w:ascii="Arial" w:eastAsia="Aptos" w:hAnsi="Arial" w:cs="Arial"/>
          <w:kern w:val="2"/>
          <w:sz w:val="24"/>
          <w:szCs w:val="24"/>
          <w:lang w:val="en-AU"/>
          <w14:ligatures w14:val="standardContextual"/>
        </w:rPr>
        <w:t>Act</w:t>
      </w:r>
      <w:r w:rsidRPr="007C05DA">
        <w:rPr>
          <w:rFonts w:ascii="Arial" w:eastAsia="Aptos" w:hAnsi="Arial" w:cs="Arial"/>
          <w:kern w:val="2"/>
          <w:sz w:val="24"/>
          <w:szCs w:val="24"/>
          <w:lang w:val="en-AU"/>
          <w14:ligatures w14:val="standardContextual"/>
        </w:rPr>
        <w:t xml:space="preserve">, a park owner may terminate a residential park agreement where the residential park will no longer be used as a residential park, or where the park or part of the park is to undergo redevelopment that cannot be completed safely and efficiently unless the resident vacates the site. </w:t>
      </w:r>
    </w:p>
    <w:p w14:paraId="1D44A069"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Before terminating the agreement, the park owner must make an offer to the resident in accordance with section 80(3). The offer may relate to alternative accommodation and relocation to another site, the purchase of the resident’s dwelling, or the relocation of the dwelling at the park owner’s expense. </w:t>
      </w:r>
    </w:p>
    <w:p w14:paraId="6CCA9AB5"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lastRenderedPageBreak/>
        <w:t>If the park owner and resident cannot reach agreement about an offer made under section 80(3), either party may apply to TASCAT to resolve the dispute, pursuant to section 80(5).</w:t>
      </w:r>
    </w:p>
    <w:p w14:paraId="339E054B" w14:textId="77777777" w:rsidR="007C05DA" w:rsidRPr="007C05DA" w:rsidRDefault="007C05DA" w:rsidP="007C05DA">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7C05DA">
        <w:rPr>
          <w:rFonts w:ascii="Arial" w:eastAsia="Aptos" w:hAnsi="Arial" w:cs="Arial"/>
          <w:b/>
          <w:bCs/>
          <w:kern w:val="2"/>
          <w:sz w:val="24"/>
          <w:szCs w:val="24"/>
          <w:lang w:val="en-AU"/>
          <w14:ligatures w14:val="standardContextual"/>
        </w:rPr>
        <w:t>Abandoned Property</w:t>
      </w:r>
    </w:p>
    <w:p w14:paraId="503DEBAE" w14:textId="043772D5"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The </w:t>
      </w:r>
      <w:r w:rsidR="009D12A6" w:rsidRPr="00025E34">
        <w:rPr>
          <w:rFonts w:ascii="Arial" w:eastAsia="Aptos" w:hAnsi="Arial" w:cs="Arial"/>
          <w:kern w:val="2"/>
          <w:sz w:val="24"/>
          <w:szCs w:val="24"/>
          <w:lang w:val="en-AU"/>
          <w14:ligatures w14:val="standardContextual"/>
        </w:rPr>
        <w:t>Act</w:t>
      </w:r>
      <w:r w:rsidRPr="007C05DA">
        <w:rPr>
          <w:rFonts w:ascii="Arial" w:eastAsia="Aptos" w:hAnsi="Arial" w:cs="Arial"/>
          <w:kern w:val="2"/>
          <w:sz w:val="24"/>
          <w:szCs w:val="24"/>
          <w:lang w:val="en-AU"/>
          <w14:ligatures w14:val="standardContextual"/>
        </w:rPr>
        <w:t xml:space="preserve"> sets out different requirements for dealing with abandoned property, depending on the type and value of the property.</w:t>
      </w:r>
    </w:p>
    <w:p w14:paraId="72875F74"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Under section 89(8), if a dispute arises between a park owner and resident about the exercise of powers relating to </w:t>
      </w:r>
      <w:proofErr w:type="gramStart"/>
      <w:r w:rsidRPr="007C05DA">
        <w:rPr>
          <w:rFonts w:ascii="Arial" w:eastAsia="Aptos" w:hAnsi="Arial" w:cs="Arial"/>
          <w:kern w:val="2"/>
          <w:sz w:val="24"/>
          <w:szCs w:val="24"/>
          <w:lang w:val="en-AU"/>
          <w14:ligatures w14:val="standardContextual"/>
        </w:rPr>
        <w:t>valuable abandoned</w:t>
      </w:r>
      <w:proofErr w:type="gramEnd"/>
      <w:r w:rsidRPr="007C05DA">
        <w:rPr>
          <w:rFonts w:ascii="Arial" w:eastAsia="Aptos" w:hAnsi="Arial" w:cs="Arial"/>
          <w:kern w:val="2"/>
          <w:sz w:val="24"/>
          <w:szCs w:val="24"/>
          <w:lang w:val="en-AU"/>
          <w14:ligatures w14:val="standardContextual"/>
        </w:rPr>
        <w:t xml:space="preserve"> property, either party may apply to TASCAT. The Tribunal may make orders to resolve the matters in dispute. </w:t>
      </w:r>
    </w:p>
    <w:p w14:paraId="248E523A" w14:textId="77777777" w:rsidR="007C05DA" w:rsidRDefault="007C05DA" w:rsidP="00F851E6">
      <w:pPr>
        <w:jc w:val="both"/>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Section 90 applies to protected abandoned property, which includes a dwelling installed or located on a residential park site and certain prescribed property. A park</w:t>
      </w:r>
      <w:r w:rsidRPr="007C05DA">
        <w:rPr>
          <w:rFonts w:ascii="Aptos" w:eastAsia="Aptos" w:hAnsi="Aptos"/>
          <w:kern w:val="2"/>
          <w:sz w:val="24"/>
          <w:szCs w:val="24"/>
          <w:lang w:val="en-AU"/>
          <w14:ligatures w14:val="standardContextual"/>
        </w:rPr>
        <w:t xml:space="preserve"> </w:t>
      </w:r>
      <w:r w:rsidRPr="007C05DA">
        <w:rPr>
          <w:rFonts w:ascii="Arial" w:eastAsia="Aptos" w:hAnsi="Arial" w:cs="Arial"/>
          <w:kern w:val="2"/>
          <w:sz w:val="24"/>
          <w:szCs w:val="24"/>
          <w:lang w:val="en-AU"/>
          <w14:ligatures w14:val="standardContextual"/>
        </w:rPr>
        <w:t>owner cannot deal with protected abandoned property unless TASCAT has first</w:t>
      </w:r>
      <w:r>
        <w:rPr>
          <w:rFonts w:ascii="Arial" w:eastAsia="Aptos" w:hAnsi="Arial" w:cs="Arial"/>
          <w:kern w:val="2"/>
          <w:sz w:val="24"/>
          <w:szCs w:val="24"/>
          <w:lang w:val="en-AU"/>
          <w14:ligatures w14:val="standardContextual"/>
        </w:rPr>
        <w:t xml:space="preserve"> </w:t>
      </w:r>
      <w:r w:rsidRPr="007C05DA">
        <w:rPr>
          <w:rFonts w:ascii="Arial" w:eastAsia="Aptos" w:hAnsi="Arial" w:cs="Arial"/>
          <w:kern w:val="2"/>
          <w:sz w:val="24"/>
          <w:szCs w:val="24"/>
          <w:lang w:val="en-AU"/>
          <w14:ligatures w14:val="standardContextual"/>
        </w:rPr>
        <w:t xml:space="preserve">made an order for possession of the site. While an application for possession is being determined, the park owner must take reasonable steps to keep the property safe. </w:t>
      </w:r>
    </w:p>
    <w:p w14:paraId="4A66677B" w14:textId="77777777" w:rsidR="007C05DA" w:rsidRPr="007C05DA" w:rsidRDefault="007C05DA" w:rsidP="00F851E6">
      <w:pPr>
        <w:jc w:val="both"/>
        <w:rPr>
          <w:rFonts w:ascii="Arial" w:eastAsia="Aptos" w:hAnsi="Arial" w:cs="Arial"/>
          <w:kern w:val="2"/>
          <w:sz w:val="24"/>
          <w:szCs w:val="24"/>
          <w:lang w:val="en-AU"/>
          <w14:ligatures w14:val="standardContextual"/>
        </w:rPr>
      </w:pPr>
    </w:p>
    <w:p w14:paraId="02F532BF"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If TASCAT makes an order for possession of a site where a dwelling is installed or located, it may also make orders concerning the sale, relocation or disposal of the dwelling, the distribution of sale proceeds, and access to the site for the purpose of selling the dwelling.</w:t>
      </w:r>
    </w:p>
    <w:p w14:paraId="13A87B4B" w14:textId="77777777" w:rsidR="007C05DA" w:rsidRPr="007C05DA" w:rsidRDefault="007C05DA" w:rsidP="007C05DA">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7C05DA">
        <w:rPr>
          <w:rFonts w:ascii="Arial" w:eastAsia="Aptos" w:hAnsi="Arial" w:cs="Arial"/>
          <w:b/>
          <w:bCs/>
          <w:kern w:val="2"/>
          <w:sz w:val="24"/>
          <w:szCs w:val="24"/>
          <w:lang w:val="en-AU"/>
          <w14:ligatures w14:val="standardContextual"/>
        </w:rPr>
        <w:t>Park Rules</w:t>
      </w:r>
    </w:p>
    <w:p w14:paraId="418E9EAD" w14:textId="5E3CFA04"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Under section 93 of the </w:t>
      </w:r>
      <w:r w:rsidR="009D12A6" w:rsidRPr="00025E34">
        <w:rPr>
          <w:rFonts w:ascii="Arial" w:eastAsia="Aptos" w:hAnsi="Arial" w:cs="Arial"/>
          <w:kern w:val="2"/>
          <w:sz w:val="24"/>
          <w:szCs w:val="24"/>
          <w:lang w:val="en-AU"/>
          <w14:ligatures w14:val="standardContextual"/>
        </w:rPr>
        <w:t>Act</w:t>
      </w:r>
      <w:r w:rsidRPr="007C05DA">
        <w:rPr>
          <w:rFonts w:ascii="Arial" w:eastAsia="Aptos" w:hAnsi="Arial" w:cs="Arial"/>
          <w:kern w:val="2"/>
          <w:sz w:val="24"/>
          <w:szCs w:val="24"/>
          <w:lang w:val="en-AU"/>
          <w14:ligatures w14:val="standardContextual"/>
        </w:rPr>
        <w:t xml:space="preserve">, one or more residents of a residential park may apply to TASCAT to have a park rule declared unreasonable. </w:t>
      </w:r>
    </w:p>
    <w:p w14:paraId="176A26B2" w14:textId="77777777"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On hearing the application, TASCAT may declare the rule or proposed rule to be reasonable or </w:t>
      </w:r>
      <w:proofErr w:type="gramStart"/>
      <w:r w:rsidRPr="007C05DA">
        <w:rPr>
          <w:rFonts w:ascii="Arial" w:eastAsia="Aptos" w:hAnsi="Arial" w:cs="Arial"/>
          <w:kern w:val="2"/>
          <w:sz w:val="24"/>
          <w:szCs w:val="24"/>
          <w:lang w:val="en-AU"/>
          <w14:ligatures w14:val="standardContextual"/>
        </w:rPr>
        <w:t>unreasonable, or</w:t>
      </w:r>
      <w:proofErr w:type="gramEnd"/>
      <w:r w:rsidRPr="007C05DA">
        <w:rPr>
          <w:rFonts w:ascii="Arial" w:eastAsia="Aptos" w:hAnsi="Arial" w:cs="Arial"/>
          <w:kern w:val="2"/>
          <w:sz w:val="24"/>
          <w:szCs w:val="24"/>
          <w:lang w:val="en-AU"/>
          <w14:ligatures w14:val="standardContextual"/>
        </w:rPr>
        <w:t xml:space="preserve"> change the rule in a way it considers appropriate to make it reasonable. If TASCAT declares a park rule unreasonable, the rule is void and no longer has effect.</w:t>
      </w:r>
    </w:p>
    <w:p w14:paraId="5E5B37F4" w14:textId="77777777" w:rsidR="007C05DA" w:rsidRPr="007C05DA" w:rsidRDefault="007C05DA" w:rsidP="007C05DA">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7C05DA">
        <w:rPr>
          <w:rFonts w:ascii="Arial" w:eastAsia="Aptos" w:hAnsi="Arial" w:cs="Arial"/>
          <w:b/>
          <w:bCs/>
          <w:kern w:val="2"/>
          <w:sz w:val="24"/>
          <w:szCs w:val="24"/>
          <w:lang w:val="en-AU"/>
          <w14:ligatures w14:val="standardContextual"/>
        </w:rPr>
        <w:t>Unfair or Unconscionable Terms</w:t>
      </w:r>
    </w:p>
    <w:p w14:paraId="6C7E7BCE" w14:textId="645064D6" w:rsidR="007C05DA" w:rsidRP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 xml:space="preserve">Under section 100 of the </w:t>
      </w:r>
      <w:r w:rsidR="009D12A6" w:rsidRPr="00025E34">
        <w:rPr>
          <w:rFonts w:ascii="Arial" w:eastAsia="Aptos" w:hAnsi="Arial" w:cs="Arial"/>
          <w:kern w:val="2"/>
          <w:sz w:val="24"/>
          <w:szCs w:val="24"/>
          <w:lang w:val="en-AU"/>
          <w14:ligatures w14:val="standardContextual"/>
        </w:rPr>
        <w:t>Act</w:t>
      </w:r>
      <w:r w:rsidRPr="00025E34">
        <w:rPr>
          <w:rFonts w:ascii="Arial" w:eastAsia="Aptos" w:hAnsi="Arial" w:cs="Arial"/>
          <w:kern w:val="2"/>
          <w:sz w:val="24"/>
          <w:szCs w:val="24"/>
          <w:lang w:val="en-AU"/>
          <w14:ligatures w14:val="standardContextual"/>
        </w:rPr>
        <w:t>,</w:t>
      </w:r>
      <w:r w:rsidRPr="007C05DA">
        <w:rPr>
          <w:rFonts w:ascii="Arial" w:eastAsia="Aptos" w:hAnsi="Arial" w:cs="Arial"/>
          <w:kern w:val="2"/>
          <w:sz w:val="24"/>
          <w:szCs w:val="24"/>
          <w:lang w:val="en-AU"/>
          <w14:ligatures w14:val="standardContextual"/>
        </w:rPr>
        <w:t xml:space="preserve"> a resident may apply to TASCAT for an order rescinding or varying a term of a residential park agreement if the Tribunal is satisfied that the term is unfair or unconscionable. </w:t>
      </w:r>
    </w:p>
    <w:p w14:paraId="4B608AD1" w14:textId="77777777" w:rsidR="007C05DA"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7C05DA">
        <w:rPr>
          <w:rFonts w:ascii="Arial" w:eastAsia="Aptos" w:hAnsi="Arial" w:cs="Arial"/>
          <w:kern w:val="2"/>
          <w:sz w:val="24"/>
          <w:szCs w:val="24"/>
          <w:lang w:val="en-AU"/>
          <w14:ligatures w14:val="standardContextual"/>
        </w:rPr>
        <w:t>If TASCAT makes such an order, it may also make consequential changes to the residential park agreement or another related document.</w:t>
      </w:r>
    </w:p>
    <w:tbl>
      <w:tblPr>
        <w:tblStyle w:val="TableGrid"/>
        <w:tblW w:w="9072" w:type="dxa"/>
        <w:tblInd w:w="-5" w:type="dxa"/>
        <w:tblLook w:val="04A0" w:firstRow="1" w:lastRow="0" w:firstColumn="1" w:lastColumn="0" w:noHBand="0" w:noVBand="1"/>
      </w:tblPr>
      <w:tblGrid>
        <w:gridCol w:w="9072"/>
      </w:tblGrid>
      <w:tr w:rsidR="007C05DA" w:rsidRPr="00464888" w14:paraId="6ACA66E9" w14:textId="77777777" w:rsidTr="00154A0F">
        <w:trPr>
          <w:trHeight w:val="163"/>
        </w:trPr>
        <w:tc>
          <w:tcPr>
            <w:tcW w:w="9072" w:type="dxa"/>
            <w:shd w:val="clear" w:color="auto" w:fill="4F758B"/>
          </w:tcPr>
          <w:p w14:paraId="3A585BE6" w14:textId="765D7BE0" w:rsidR="007C05DA" w:rsidRPr="007C05DA" w:rsidRDefault="007C05DA" w:rsidP="00154A0F">
            <w:pPr>
              <w:spacing w:before="120" w:after="240"/>
              <w:contextualSpacing/>
              <w:jc w:val="both"/>
              <w:rPr>
                <w:rFonts w:ascii="Arial" w:hAnsi="Arial" w:cs="Arial"/>
                <w:b/>
                <w:bCs/>
                <w:color w:val="FFFFFF"/>
                <w:sz w:val="36"/>
                <w:szCs w:val="36"/>
              </w:rPr>
            </w:pPr>
            <w:r>
              <w:rPr>
                <w:rFonts w:ascii="Arial" w:hAnsi="Arial" w:cs="Arial"/>
                <w:b/>
                <w:bCs/>
                <w:color w:val="FFFFFF"/>
                <w:sz w:val="36"/>
                <w:szCs w:val="36"/>
              </w:rPr>
              <w:t>URGENT APPLICATIONS</w:t>
            </w:r>
          </w:p>
        </w:tc>
      </w:tr>
    </w:tbl>
    <w:p w14:paraId="16E7167E" w14:textId="77777777" w:rsidR="007C05DA" w:rsidRDefault="007C05DA" w:rsidP="007C05DA">
      <w:pPr>
        <w:rPr>
          <w:rFonts w:ascii="Arial" w:eastAsia="Aptos" w:hAnsi="Arial" w:cs="Arial"/>
          <w:b/>
          <w:bCs/>
          <w:kern w:val="2"/>
          <w:sz w:val="24"/>
          <w:szCs w:val="24"/>
          <w:lang w:val="en-AU"/>
          <w14:ligatures w14:val="standardContextual"/>
        </w:rPr>
      </w:pPr>
    </w:p>
    <w:p w14:paraId="6A33D265" w14:textId="179A5622" w:rsidR="007C05DA" w:rsidRDefault="007C05DA" w:rsidP="007C05DA">
      <w:pPr>
        <w:rPr>
          <w:rFonts w:ascii="Arial" w:eastAsia="Aptos" w:hAnsi="Arial" w:cs="Arial"/>
          <w:b/>
          <w:bCs/>
          <w:kern w:val="2"/>
          <w:sz w:val="24"/>
          <w:szCs w:val="24"/>
          <w:lang w:val="en-AU"/>
          <w14:ligatures w14:val="standardContextual"/>
        </w:rPr>
      </w:pPr>
      <w:r w:rsidRPr="007C05DA">
        <w:rPr>
          <w:rFonts w:ascii="Arial" w:eastAsia="Aptos" w:hAnsi="Arial" w:cs="Arial"/>
          <w:b/>
          <w:bCs/>
          <w:kern w:val="2"/>
          <w:sz w:val="24"/>
          <w:szCs w:val="24"/>
          <w:lang w:val="en-AU"/>
          <w14:ligatures w14:val="standardContextual"/>
        </w:rPr>
        <w:t xml:space="preserve">Notice to Leave </w:t>
      </w:r>
    </w:p>
    <w:p w14:paraId="02DF9C53" w14:textId="77777777" w:rsidR="00455DA1" w:rsidRPr="00F851E6" w:rsidRDefault="00455DA1" w:rsidP="007C05DA">
      <w:pPr>
        <w:rPr>
          <w:rFonts w:ascii="Arial" w:eastAsia="Aptos" w:hAnsi="Arial" w:cs="Arial"/>
          <w:b/>
          <w:bCs/>
          <w:kern w:val="2"/>
          <w:sz w:val="24"/>
          <w:szCs w:val="24"/>
          <w:lang w:val="en-AU"/>
          <w14:ligatures w14:val="standardContextual"/>
        </w:rPr>
      </w:pPr>
    </w:p>
    <w:p w14:paraId="611B5537" w14:textId="5FC477BA" w:rsidR="007C05DA" w:rsidRPr="00FA30D9"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FA30D9">
        <w:rPr>
          <w:rFonts w:ascii="Arial" w:eastAsia="Aptos" w:hAnsi="Arial" w:cs="Arial"/>
          <w:kern w:val="2"/>
          <w:sz w:val="24"/>
          <w:szCs w:val="24"/>
          <w:lang w:val="en-AU"/>
          <w14:ligatures w14:val="standardContextual"/>
        </w:rPr>
        <w:t>Under section 59 of the</w:t>
      </w:r>
      <w:r w:rsidR="000517C1">
        <w:rPr>
          <w:rFonts w:ascii="Arial" w:eastAsia="Aptos" w:hAnsi="Arial" w:cs="Arial"/>
          <w:kern w:val="2"/>
          <w:sz w:val="24"/>
          <w:szCs w:val="24"/>
          <w:lang w:val="en-AU"/>
          <w14:ligatures w14:val="standardContextual"/>
        </w:rPr>
        <w:t xml:space="preserve"> </w:t>
      </w:r>
      <w:r w:rsidR="00036247" w:rsidRPr="00025E34">
        <w:rPr>
          <w:rFonts w:ascii="Arial" w:eastAsia="Aptos" w:hAnsi="Arial" w:cs="Arial"/>
          <w:kern w:val="2"/>
          <w:sz w:val="24"/>
          <w:szCs w:val="24"/>
          <w:lang w:val="en-AU"/>
          <w14:ligatures w14:val="standardContextual"/>
        </w:rPr>
        <w:t>Act</w:t>
      </w:r>
      <w:r w:rsidRPr="00FA30D9">
        <w:rPr>
          <w:rFonts w:ascii="Arial" w:eastAsia="Aptos" w:hAnsi="Arial" w:cs="Arial"/>
          <w:kern w:val="2"/>
          <w:sz w:val="24"/>
          <w:szCs w:val="24"/>
          <w:lang w:val="en-AU"/>
          <w14:ligatures w14:val="standardContextual"/>
        </w:rPr>
        <w:t xml:space="preserve">, a park owner may give a person a notice requiring them to leave the residential park immediately if the park owner has reasonable grounds to believe that the person has committed a serious act of violence in the park, or that the safety of another person in the park is in danger from that person. </w:t>
      </w:r>
    </w:p>
    <w:p w14:paraId="70A107BA" w14:textId="77777777" w:rsidR="007C05DA" w:rsidRPr="00FA30D9"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FA30D9">
        <w:rPr>
          <w:rFonts w:ascii="Arial" w:eastAsia="Aptos" w:hAnsi="Arial" w:cs="Arial"/>
          <w:kern w:val="2"/>
          <w:sz w:val="24"/>
          <w:szCs w:val="24"/>
          <w:lang w:val="en-AU"/>
          <w14:ligatures w14:val="standardContextual"/>
        </w:rPr>
        <w:t xml:space="preserve">If a resident is given a notice to leave, the park owner may apply to TASCAT under section 101 for an order terminating the resident’s residential park agreement. The </w:t>
      </w:r>
      <w:r w:rsidRPr="00FA30D9">
        <w:rPr>
          <w:rFonts w:ascii="Arial" w:eastAsia="Aptos" w:hAnsi="Arial" w:cs="Arial"/>
          <w:kern w:val="2"/>
          <w:sz w:val="24"/>
          <w:szCs w:val="24"/>
          <w:lang w:val="en-AU"/>
          <w14:ligatures w14:val="standardContextual"/>
        </w:rPr>
        <w:lastRenderedPageBreak/>
        <w:t xml:space="preserve">application must be made within 2 working days after the notice to leave is given to the resident. </w:t>
      </w:r>
    </w:p>
    <w:p w14:paraId="6CB26839" w14:textId="77777777" w:rsidR="007C05DA" w:rsidRPr="00FA30D9" w:rsidRDefault="007C05DA"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FA30D9">
        <w:rPr>
          <w:rFonts w:ascii="Arial" w:eastAsia="Aptos" w:hAnsi="Arial" w:cs="Arial"/>
          <w:kern w:val="2"/>
          <w:sz w:val="24"/>
          <w:szCs w:val="24"/>
          <w:lang w:val="en-AU"/>
          <w14:ligatures w14:val="standardContextual"/>
        </w:rPr>
        <w:t>On hearing the application, TASCAT may make an order:</w:t>
      </w:r>
    </w:p>
    <w:p w14:paraId="13554414" w14:textId="77777777" w:rsidR="007C05DA" w:rsidRPr="00FA30D9" w:rsidRDefault="007C05DA" w:rsidP="00F851E6">
      <w:pPr>
        <w:numPr>
          <w:ilvl w:val="0"/>
          <w:numId w:val="34"/>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FA30D9">
        <w:rPr>
          <w:rFonts w:ascii="Arial" w:eastAsia="Aptos" w:hAnsi="Arial" w:cs="Arial"/>
          <w:kern w:val="2"/>
          <w:sz w:val="24"/>
          <w:szCs w:val="24"/>
          <w:lang w:val="en-AU"/>
          <w14:ligatures w14:val="standardContextual"/>
        </w:rPr>
        <w:t>terminating the residential park agreement and making an order for possession of the rented property;</w:t>
      </w:r>
    </w:p>
    <w:p w14:paraId="017FDB32" w14:textId="77777777" w:rsidR="00DF5A0F" w:rsidRPr="00F851E6" w:rsidRDefault="00DF5A0F" w:rsidP="00F851E6">
      <w:pPr>
        <w:numPr>
          <w:ilvl w:val="0"/>
          <w:numId w:val="34"/>
        </w:numPr>
        <w:overflowPunct/>
        <w:autoSpaceDE/>
        <w:autoSpaceDN/>
        <w:adjustRightInd/>
        <w:spacing w:after="160"/>
        <w:jc w:val="both"/>
        <w:textAlignment w:val="auto"/>
        <w:rPr>
          <w:rFonts w:ascii="Arial" w:hAnsi="Arial" w:cs="Arial"/>
          <w:sz w:val="24"/>
          <w:szCs w:val="24"/>
        </w:rPr>
      </w:pPr>
      <w:r w:rsidRPr="00F851E6">
        <w:rPr>
          <w:rFonts w:ascii="Arial" w:hAnsi="Arial" w:cs="Arial"/>
          <w:sz w:val="24"/>
          <w:szCs w:val="24"/>
        </w:rPr>
        <w:t>terminating the agreement while allowing the resident to access the site for the limited purpose of removing their property or selling a dwelling;</w:t>
      </w:r>
    </w:p>
    <w:p w14:paraId="2108B27B" w14:textId="77777777" w:rsidR="00DF5A0F" w:rsidRPr="00F851E6" w:rsidRDefault="00DF5A0F" w:rsidP="00F851E6">
      <w:pPr>
        <w:numPr>
          <w:ilvl w:val="0"/>
          <w:numId w:val="34"/>
        </w:numPr>
        <w:overflowPunct/>
        <w:autoSpaceDE/>
        <w:autoSpaceDN/>
        <w:adjustRightInd/>
        <w:spacing w:after="160"/>
        <w:jc w:val="both"/>
        <w:textAlignment w:val="auto"/>
        <w:rPr>
          <w:rFonts w:ascii="Arial" w:hAnsi="Arial" w:cs="Arial"/>
          <w:sz w:val="24"/>
          <w:szCs w:val="24"/>
        </w:rPr>
      </w:pPr>
      <w:r w:rsidRPr="00F851E6">
        <w:rPr>
          <w:rFonts w:ascii="Arial" w:hAnsi="Arial" w:cs="Arial"/>
          <w:sz w:val="24"/>
          <w:szCs w:val="24"/>
        </w:rPr>
        <w:t>vesting the residential park agreement in another person who resides, or previously resided, at the rented property with the resident; or</w:t>
      </w:r>
    </w:p>
    <w:p w14:paraId="65B3DDB1" w14:textId="77777777" w:rsidR="00DF5A0F" w:rsidRPr="00F851E6" w:rsidRDefault="00DF5A0F" w:rsidP="00F851E6">
      <w:pPr>
        <w:numPr>
          <w:ilvl w:val="0"/>
          <w:numId w:val="34"/>
        </w:numPr>
        <w:overflowPunct/>
        <w:autoSpaceDE/>
        <w:autoSpaceDN/>
        <w:adjustRightInd/>
        <w:spacing w:after="160"/>
        <w:jc w:val="both"/>
        <w:textAlignment w:val="auto"/>
        <w:rPr>
          <w:rFonts w:ascii="Arial" w:hAnsi="Arial" w:cs="Arial"/>
          <w:sz w:val="24"/>
          <w:szCs w:val="24"/>
        </w:rPr>
      </w:pPr>
      <w:r w:rsidRPr="00F851E6">
        <w:rPr>
          <w:rFonts w:ascii="Arial" w:hAnsi="Arial" w:cs="Arial"/>
          <w:sz w:val="24"/>
          <w:szCs w:val="24"/>
        </w:rPr>
        <w:t xml:space="preserve">allowing the resident to resume occupation of the rented property. </w:t>
      </w:r>
    </w:p>
    <w:p w14:paraId="404CBFCE" w14:textId="77777777" w:rsidR="00DF5A0F" w:rsidRPr="00F851E6" w:rsidRDefault="00DF5A0F" w:rsidP="00F851E6">
      <w:pPr>
        <w:jc w:val="both"/>
        <w:rPr>
          <w:rFonts w:ascii="Arial" w:hAnsi="Arial" w:cs="Arial"/>
          <w:sz w:val="24"/>
          <w:szCs w:val="24"/>
        </w:rPr>
      </w:pPr>
      <w:r w:rsidRPr="00F851E6">
        <w:rPr>
          <w:rFonts w:ascii="Arial" w:hAnsi="Arial" w:cs="Arial"/>
          <w:sz w:val="24"/>
          <w:szCs w:val="24"/>
        </w:rPr>
        <w:t xml:space="preserve">TASCAT must not determine the application without the resident being represented at the hearing unless the Tribunal is satisfied that all reasonable efforts have been made to notify the resident of the hearing. </w:t>
      </w:r>
    </w:p>
    <w:p w14:paraId="2F1B7C4F" w14:textId="77777777" w:rsidR="00DF5A0F" w:rsidRPr="00F851E6" w:rsidRDefault="00DF5A0F" w:rsidP="00F851E6">
      <w:pPr>
        <w:jc w:val="both"/>
        <w:rPr>
          <w:rFonts w:ascii="Arial" w:hAnsi="Arial" w:cs="Arial"/>
          <w:sz w:val="24"/>
          <w:szCs w:val="24"/>
        </w:rPr>
      </w:pPr>
    </w:p>
    <w:p w14:paraId="5B672497" w14:textId="77777777" w:rsidR="00DF5A0F" w:rsidRPr="00F851E6" w:rsidRDefault="00DF5A0F" w:rsidP="00F851E6">
      <w:pPr>
        <w:jc w:val="both"/>
        <w:rPr>
          <w:rFonts w:ascii="Arial" w:hAnsi="Arial" w:cs="Arial"/>
          <w:sz w:val="24"/>
          <w:szCs w:val="24"/>
        </w:rPr>
      </w:pPr>
      <w:r w:rsidRPr="00F851E6">
        <w:rPr>
          <w:rFonts w:ascii="Arial" w:hAnsi="Arial" w:cs="Arial"/>
          <w:sz w:val="24"/>
          <w:szCs w:val="24"/>
        </w:rPr>
        <w:t xml:space="preserve">If TASCAT allows the resident to resume occupation and is satisfied that there was no reasonable basis for giving the notice to leave, the Tribunal may also make orders excusing the resident from paying rent for the period they were excluded from the park, refunding rent paid for that period, or compensating the resident for reasonable expenses arising from the notice to leave or their exclusion from the park. </w:t>
      </w:r>
    </w:p>
    <w:p w14:paraId="65DBBF84" w14:textId="77777777" w:rsidR="00DF5A0F" w:rsidRPr="00F851E6" w:rsidRDefault="00DF5A0F" w:rsidP="00F851E6">
      <w:pPr>
        <w:jc w:val="both"/>
        <w:rPr>
          <w:rFonts w:ascii="Arial" w:hAnsi="Arial" w:cs="Arial"/>
          <w:sz w:val="24"/>
          <w:szCs w:val="24"/>
        </w:rPr>
      </w:pPr>
    </w:p>
    <w:p w14:paraId="01CD60C5" w14:textId="0F321395" w:rsidR="007C05DA" w:rsidRPr="007C05DA" w:rsidRDefault="00DF5A0F" w:rsidP="00F851E6">
      <w:pPr>
        <w:spacing w:after="240"/>
        <w:jc w:val="both"/>
        <w:rPr>
          <w:rFonts w:ascii="Arial" w:eastAsia="Aptos" w:hAnsi="Arial" w:cs="Arial"/>
          <w:kern w:val="2"/>
          <w:sz w:val="24"/>
          <w:szCs w:val="24"/>
          <w:lang w:val="en-AU"/>
          <w14:ligatures w14:val="standardContextual"/>
        </w:rPr>
      </w:pPr>
      <w:r w:rsidRPr="00F851E6">
        <w:rPr>
          <w:rFonts w:ascii="Arial" w:hAnsi="Arial" w:cs="Arial"/>
          <w:sz w:val="24"/>
          <w:szCs w:val="24"/>
        </w:rPr>
        <w:t xml:space="preserve">The Tribunal may also make any ancillary or incidental orders it considers appropriate. </w:t>
      </w:r>
    </w:p>
    <w:tbl>
      <w:tblPr>
        <w:tblStyle w:val="TableGrid"/>
        <w:tblW w:w="9072" w:type="dxa"/>
        <w:tblInd w:w="-5" w:type="dxa"/>
        <w:tblLook w:val="04A0" w:firstRow="1" w:lastRow="0" w:firstColumn="1" w:lastColumn="0" w:noHBand="0" w:noVBand="1"/>
      </w:tblPr>
      <w:tblGrid>
        <w:gridCol w:w="9072"/>
      </w:tblGrid>
      <w:tr w:rsidR="00DF5A0F" w:rsidRPr="00464888" w14:paraId="5096BD23" w14:textId="77777777" w:rsidTr="00154A0F">
        <w:trPr>
          <w:trHeight w:val="163"/>
        </w:trPr>
        <w:tc>
          <w:tcPr>
            <w:tcW w:w="9072" w:type="dxa"/>
            <w:shd w:val="clear" w:color="auto" w:fill="4F758B"/>
          </w:tcPr>
          <w:p w14:paraId="2E5A12FA" w14:textId="735EFE56" w:rsidR="00DF5A0F" w:rsidRPr="00DF5A0F" w:rsidRDefault="00DF5A0F" w:rsidP="00154A0F">
            <w:pPr>
              <w:spacing w:before="120" w:after="240"/>
              <w:contextualSpacing/>
              <w:jc w:val="both"/>
              <w:rPr>
                <w:rFonts w:ascii="Arial" w:hAnsi="Arial" w:cs="Arial"/>
                <w:b/>
                <w:bCs/>
                <w:color w:val="FFFFFF"/>
                <w:sz w:val="36"/>
                <w:szCs w:val="36"/>
              </w:rPr>
            </w:pPr>
            <w:r w:rsidRPr="00DF5A0F">
              <w:rPr>
                <w:rFonts w:ascii="Arial" w:hAnsi="Arial" w:cs="Arial"/>
                <w:b/>
                <w:bCs/>
                <w:color w:val="FFFFFF"/>
                <w:sz w:val="36"/>
                <w:szCs w:val="36"/>
              </w:rPr>
              <w:t>APPEALS TO TASCAT</w:t>
            </w:r>
          </w:p>
        </w:tc>
      </w:tr>
    </w:tbl>
    <w:p w14:paraId="548D6875" w14:textId="49215FFF" w:rsidR="007C05DA" w:rsidRDefault="007C05DA" w:rsidP="00F851E6">
      <w:pPr>
        <w:overflowPunct/>
        <w:autoSpaceDE/>
        <w:autoSpaceDN/>
        <w:adjustRightInd/>
        <w:spacing w:line="278" w:lineRule="auto"/>
        <w:textAlignment w:val="auto"/>
        <w:rPr>
          <w:rFonts w:ascii="Arial" w:eastAsia="Aptos" w:hAnsi="Arial" w:cs="Arial"/>
          <w:kern w:val="2"/>
          <w:sz w:val="24"/>
          <w:szCs w:val="24"/>
          <w:lang w:val="en-AU"/>
          <w14:ligatures w14:val="standardContextual"/>
        </w:rPr>
      </w:pPr>
    </w:p>
    <w:p w14:paraId="365F5151" w14:textId="17BB660B" w:rsidR="00DF5A0F" w:rsidRPr="00DF5A0F" w:rsidRDefault="00DF5A0F" w:rsidP="00DF5A0F">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DF5A0F">
        <w:rPr>
          <w:rFonts w:ascii="Arial" w:eastAsia="Aptos" w:hAnsi="Arial" w:cs="Arial"/>
          <w:b/>
          <w:bCs/>
          <w:kern w:val="2"/>
          <w:sz w:val="24"/>
          <w:szCs w:val="24"/>
          <w:lang w:val="en-AU"/>
          <w14:ligatures w14:val="standardContextual"/>
        </w:rPr>
        <w:t>Refusal to Transfer a Residential Park Agreement</w:t>
      </w:r>
    </w:p>
    <w:p w14:paraId="430766E2" w14:textId="0F25FC05" w:rsidR="00DF5A0F" w:rsidRPr="00DF5A0F" w:rsidRDefault="00DF5A0F"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F5A0F">
        <w:rPr>
          <w:rFonts w:ascii="Arial" w:eastAsia="Aptos" w:hAnsi="Arial" w:cs="Arial"/>
          <w:kern w:val="2"/>
          <w:sz w:val="24"/>
          <w:szCs w:val="24"/>
          <w:lang w:val="en-AU"/>
          <w14:ligatures w14:val="standardContextual"/>
        </w:rPr>
        <w:t xml:space="preserve">Under section 18 of the </w:t>
      </w:r>
      <w:r w:rsidR="009D12A6" w:rsidRPr="00025E34">
        <w:rPr>
          <w:rFonts w:ascii="Arial" w:eastAsia="Aptos" w:hAnsi="Arial" w:cs="Arial"/>
          <w:kern w:val="2"/>
          <w:sz w:val="24"/>
          <w:szCs w:val="24"/>
          <w:lang w:val="en-AU"/>
          <w14:ligatures w14:val="standardContextual"/>
        </w:rPr>
        <w:t>Act</w:t>
      </w:r>
      <w:r w:rsidRPr="00025E34">
        <w:rPr>
          <w:rFonts w:ascii="Arial" w:eastAsia="Aptos" w:hAnsi="Arial" w:cs="Arial"/>
          <w:kern w:val="2"/>
          <w:sz w:val="24"/>
          <w:szCs w:val="24"/>
          <w:lang w:val="en-AU"/>
          <w14:ligatures w14:val="standardContextual"/>
        </w:rPr>
        <w:t>,</w:t>
      </w:r>
      <w:r w:rsidRPr="00DF5A0F">
        <w:rPr>
          <w:rFonts w:ascii="Arial" w:eastAsia="Aptos" w:hAnsi="Arial" w:cs="Arial"/>
          <w:kern w:val="2"/>
          <w:sz w:val="24"/>
          <w:szCs w:val="24"/>
          <w:lang w:val="en-AU"/>
          <w14:ligatures w14:val="standardContextual"/>
        </w:rPr>
        <w:t xml:space="preserve"> a resident may request that their residential park agreement be transferred to another person nominated by the resident. The park owner must not unreasonably refuse the request. </w:t>
      </w:r>
    </w:p>
    <w:p w14:paraId="0E02D6E1" w14:textId="77777777" w:rsidR="00DF5A0F" w:rsidRPr="00DF5A0F" w:rsidRDefault="00DF5A0F"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F5A0F">
        <w:rPr>
          <w:rFonts w:ascii="Arial" w:eastAsia="Aptos" w:hAnsi="Arial" w:cs="Arial"/>
          <w:kern w:val="2"/>
          <w:sz w:val="24"/>
          <w:szCs w:val="24"/>
          <w:lang w:val="en-AU"/>
          <w14:ligatures w14:val="standardContextual"/>
        </w:rPr>
        <w:t>If the park owner refuses the request, the resident may apply to TASCAT under section 102 for an order declaring that there are no reasonable grounds for refusing the transfer and requiring the park owner to transfer the agreement. If TASCAT is satisfied that the agreement is to be transferred in accordance with section 18, it may order the transfer to proceed and make any additional orders it considers appropriate to give effect to that outcome.</w:t>
      </w:r>
    </w:p>
    <w:p w14:paraId="1DFA22FF" w14:textId="77777777" w:rsidR="00DF5A0F" w:rsidRPr="00DF5A0F" w:rsidRDefault="00DF5A0F" w:rsidP="00DF5A0F">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DF5A0F">
        <w:rPr>
          <w:rFonts w:ascii="Arial" w:eastAsia="Aptos" w:hAnsi="Arial" w:cs="Arial"/>
          <w:b/>
          <w:bCs/>
          <w:kern w:val="2"/>
          <w:sz w:val="24"/>
          <w:szCs w:val="24"/>
          <w:lang w:val="en-AU"/>
          <w14:ligatures w14:val="standardContextual"/>
        </w:rPr>
        <w:t>Termination Notices and Termination of Agreements</w:t>
      </w:r>
    </w:p>
    <w:p w14:paraId="10D32BF1" w14:textId="5837AB9B" w:rsidR="00DF5A0F" w:rsidRPr="00DF5A0F" w:rsidRDefault="00DF5A0F" w:rsidP="00F851E6">
      <w:pPr>
        <w:overflowPunct/>
        <w:autoSpaceDE/>
        <w:autoSpaceDN/>
        <w:adjustRightInd/>
        <w:spacing w:after="160"/>
        <w:jc w:val="both"/>
        <w:textAlignment w:val="auto"/>
        <w:rPr>
          <w:rFonts w:ascii="Arial" w:eastAsia="Aptos" w:hAnsi="Arial" w:cs="Arial"/>
          <w:b/>
          <w:bCs/>
          <w:kern w:val="2"/>
          <w:sz w:val="24"/>
          <w:szCs w:val="24"/>
          <w:lang w:val="en-AU"/>
          <w14:ligatures w14:val="standardContextual"/>
        </w:rPr>
      </w:pPr>
      <w:r w:rsidRPr="00DF5A0F">
        <w:rPr>
          <w:rFonts w:ascii="Arial" w:eastAsia="Aptos" w:hAnsi="Arial" w:cs="Arial"/>
          <w:kern w:val="2"/>
          <w:sz w:val="24"/>
          <w:szCs w:val="24"/>
          <w:lang w:val="en-AU"/>
          <w14:ligatures w14:val="standardContextual"/>
        </w:rPr>
        <w:t>Section 103 allows a person who receives a termination notice under s 74 for breach of a residential park agreement to apply to TASCAT for review of that notice. The Tribunal may determine whether the alleged breach occurred, whether any breach has been remedied, and whether the agreement is liable to termination. Even where the Tribunal finds that the agreement was validly terminated, it may reinstate the agreement if it considers that reinstatement is reasonable in the circumstances and may impose conditions on that reinstatement. The Tribunal may also make conditional orders providing that the agreement will be reinstated if specified</w:t>
      </w:r>
      <w:r w:rsidRPr="00DF5A0F">
        <w:rPr>
          <w:rFonts w:ascii="Arial" w:eastAsiaTheme="minorHAnsi" w:hAnsi="Arial" w:cs="Arial"/>
          <w:kern w:val="2"/>
          <w:sz w:val="24"/>
          <w:szCs w:val="24"/>
          <w:lang w:val="en-AU"/>
          <w14:ligatures w14:val="standardContextual"/>
        </w:rPr>
        <w:t xml:space="preserve"> </w:t>
      </w:r>
      <w:r w:rsidRPr="00DF5A0F">
        <w:rPr>
          <w:rFonts w:ascii="Arial" w:eastAsia="Aptos" w:hAnsi="Arial" w:cs="Arial"/>
          <w:kern w:val="2"/>
          <w:sz w:val="24"/>
          <w:szCs w:val="24"/>
          <w:lang w:val="en-AU"/>
          <w14:ligatures w14:val="standardContextual"/>
        </w:rPr>
        <w:t xml:space="preserve">conditions are </w:t>
      </w:r>
      <w:proofErr w:type="gramStart"/>
      <w:r w:rsidRPr="00DF5A0F">
        <w:rPr>
          <w:rFonts w:ascii="Arial" w:eastAsia="Aptos" w:hAnsi="Arial" w:cs="Arial"/>
          <w:kern w:val="2"/>
          <w:sz w:val="24"/>
          <w:szCs w:val="24"/>
          <w:lang w:val="en-AU"/>
          <w14:ligatures w14:val="standardContextual"/>
        </w:rPr>
        <w:t>met, or</w:t>
      </w:r>
      <w:proofErr w:type="gramEnd"/>
      <w:r w:rsidRPr="00DF5A0F">
        <w:rPr>
          <w:rFonts w:ascii="Arial" w:eastAsia="Aptos" w:hAnsi="Arial" w:cs="Arial"/>
          <w:kern w:val="2"/>
          <w:sz w:val="24"/>
          <w:szCs w:val="24"/>
          <w:lang w:val="en-AU"/>
          <w14:ligatures w14:val="standardContextual"/>
        </w:rPr>
        <w:t xml:space="preserve"> </w:t>
      </w:r>
      <w:r w:rsidRPr="00DF5A0F">
        <w:rPr>
          <w:rFonts w:ascii="Arial" w:eastAsia="Aptos" w:hAnsi="Arial" w:cs="Arial"/>
          <w:kern w:val="2"/>
          <w:sz w:val="24"/>
          <w:szCs w:val="24"/>
          <w:lang w:val="en-AU"/>
          <w14:ligatures w14:val="standardContextual"/>
        </w:rPr>
        <w:lastRenderedPageBreak/>
        <w:t>alternatively requiring the resident to give vacant possession of the rented property if those conditions are not satisfied.</w:t>
      </w:r>
    </w:p>
    <w:p w14:paraId="313C876F" w14:textId="38ED3069" w:rsidR="00DF5A0F" w:rsidRPr="00DF5A0F" w:rsidRDefault="00DF5A0F"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F5A0F">
        <w:rPr>
          <w:rFonts w:ascii="Arial" w:eastAsia="Aptos" w:hAnsi="Arial" w:cs="Arial"/>
          <w:kern w:val="2"/>
          <w:sz w:val="24"/>
          <w:szCs w:val="24"/>
          <w:lang w:val="en-AU"/>
          <w14:ligatures w14:val="standardContextual"/>
        </w:rPr>
        <w:t>Section 104 allows a party to a residential park agreement to apply to TASCAT where the other party has terminated the agreement other than by a notice under s 74. The Tribunal may determine whether the agreement has in fact been terminated and may declare either that the agreement remains in force or that it has been validly terminated. Where the Tribunal concludes that the agreement has been terminated but considers reinstatement reasonable in the circumstances, it may reinstate the agreement on conditions it considers appropriate. The Tribunal may also make contingent orders providing that, if reinstatement conditions are not complied with, the resident must give vacant possession of the property or specified rights and obligations under the reinstated agreement are altered or waived.</w:t>
      </w:r>
    </w:p>
    <w:p w14:paraId="6C922BC1" w14:textId="77777777" w:rsidR="00DF5A0F" w:rsidRPr="00DF5A0F" w:rsidRDefault="00DF5A0F" w:rsidP="00DF5A0F">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DF5A0F">
        <w:rPr>
          <w:rFonts w:ascii="Arial" w:eastAsia="Aptos" w:hAnsi="Arial" w:cs="Arial"/>
          <w:b/>
          <w:bCs/>
          <w:kern w:val="2"/>
          <w:sz w:val="24"/>
          <w:szCs w:val="24"/>
          <w:lang w:val="en-AU"/>
          <w14:ligatures w14:val="standardContextual"/>
        </w:rPr>
        <w:t>Security Deposit Decisions</w:t>
      </w:r>
    </w:p>
    <w:p w14:paraId="3EA5894B" w14:textId="77777777" w:rsidR="00DF5A0F" w:rsidRPr="00DF5A0F" w:rsidRDefault="00DF5A0F"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F5A0F">
        <w:rPr>
          <w:rFonts w:ascii="Arial" w:eastAsia="Aptos" w:hAnsi="Arial" w:cs="Arial"/>
          <w:kern w:val="2"/>
          <w:sz w:val="24"/>
          <w:szCs w:val="24"/>
          <w:lang w:val="en-AU"/>
          <w14:ligatures w14:val="standardContextual"/>
        </w:rPr>
        <w:t xml:space="preserve">Disputes about the disbursement of security deposits are initially dealt with through the process involving the Rental Deposit Authority and the Residential Tenancy Commissioner under sections 45 to 47 of the Act. </w:t>
      </w:r>
    </w:p>
    <w:p w14:paraId="22AB916D" w14:textId="4D0502FF" w:rsidR="00DF5A0F" w:rsidRDefault="00DF5A0F" w:rsidP="000517C1">
      <w:pPr>
        <w:overflowPunct/>
        <w:autoSpaceDE/>
        <w:autoSpaceDN/>
        <w:adjustRightInd/>
        <w:spacing w:before="240" w:after="240"/>
        <w:jc w:val="both"/>
        <w:textAlignment w:val="auto"/>
        <w:rPr>
          <w:rFonts w:ascii="Arial" w:eastAsia="Aptos" w:hAnsi="Arial" w:cs="Arial"/>
          <w:kern w:val="2"/>
          <w:sz w:val="24"/>
          <w:szCs w:val="24"/>
          <w:lang w:val="en-AU"/>
          <w14:ligatures w14:val="standardContextual"/>
        </w:rPr>
      </w:pPr>
      <w:r w:rsidRPr="00DF5A0F">
        <w:rPr>
          <w:rFonts w:ascii="Arial" w:eastAsia="Aptos" w:hAnsi="Arial" w:cs="Arial"/>
          <w:kern w:val="2"/>
          <w:sz w:val="24"/>
          <w:szCs w:val="24"/>
          <w:lang w:val="en-AU"/>
          <w14:ligatures w14:val="standardContextual"/>
        </w:rPr>
        <w:t>Section 105 provides a right of appeal to TASCAT against a determination made by the Commissioner concerning the disbursement of a security deposit. An appeal must be lodged within seven days of the Commissioner's determination. The Tribunal is required to conduct a fresh hearing of the dispute and may either confirm the Commissioner's determination or vary it by determining how the security deposit is to be distributed between the park owner and resident. The Tribunal may also make any ancillary or incidental orders it considers appropriate.</w:t>
      </w:r>
    </w:p>
    <w:tbl>
      <w:tblPr>
        <w:tblStyle w:val="TableGrid"/>
        <w:tblW w:w="9072" w:type="dxa"/>
        <w:tblInd w:w="-5" w:type="dxa"/>
        <w:tblLook w:val="04A0" w:firstRow="1" w:lastRow="0" w:firstColumn="1" w:lastColumn="0" w:noHBand="0" w:noVBand="1"/>
      </w:tblPr>
      <w:tblGrid>
        <w:gridCol w:w="9072"/>
      </w:tblGrid>
      <w:tr w:rsidR="00DF5A0F" w:rsidRPr="00464888" w14:paraId="21568154" w14:textId="77777777" w:rsidTr="00154A0F">
        <w:trPr>
          <w:trHeight w:val="163"/>
        </w:trPr>
        <w:tc>
          <w:tcPr>
            <w:tcW w:w="9072" w:type="dxa"/>
            <w:shd w:val="clear" w:color="auto" w:fill="4F758B"/>
          </w:tcPr>
          <w:p w14:paraId="1AEA15E4" w14:textId="36B1FCAB" w:rsidR="00DF5A0F" w:rsidRPr="00DF5A0F" w:rsidRDefault="00DF5A0F" w:rsidP="00154A0F">
            <w:pPr>
              <w:spacing w:before="120" w:after="240"/>
              <w:contextualSpacing/>
              <w:jc w:val="both"/>
              <w:rPr>
                <w:rFonts w:ascii="Arial" w:hAnsi="Arial" w:cs="Arial"/>
                <w:b/>
                <w:bCs/>
                <w:color w:val="FFFFFF"/>
                <w:sz w:val="36"/>
                <w:szCs w:val="36"/>
              </w:rPr>
            </w:pPr>
            <w:r w:rsidRPr="00DF5A0F">
              <w:rPr>
                <w:rFonts w:ascii="Arial" w:hAnsi="Arial" w:cs="Arial"/>
                <w:b/>
                <w:bCs/>
                <w:color w:val="FFFFFF"/>
                <w:sz w:val="36"/>
                <w:szCs w:val="36"/>
              </w:rPr>
              <w:t>POSSESSION OF RENTED PROPERTY</w:t>
            </w:r>
          </w:p>
        </w:tc>
      </w:tr>
    </w:tbl>
    <w:p w14:paraId="45FD8A3F" w14:textId="77777777" w:rsidR="00DF5A0F" w:rsidRDefault="00DF5A0F" w:rsidP="00F851E6">
      <w:pPr>
        <w:overflowPunct/>
        <w:autoSpaceDE/>
        <w:autoSpaceDN/>
        <w:adjustRightInd/>
        <w:spacing w:before="240" w:after="160" w:line="278" w:lineRule="auto"/>
        <w:textAlignment w:val="auto"/>
        <w:rPr>
          <w:rFonts w:ascii="Arial" w:eastAsia="Aptos" w:hAnsi="Arial" w:cs="Arial"/>
          <w:b/>
          <w:bCs/>
          <w:kern w:val="2"/>
          <w:sz w:val="24"/>
          <w:szCs w:val="24"/>
          <w:lang w:val="en-AU"/>
          <w14:ligatures w14:val="standardContextual"/>
        </w:rPr>
      </w:pPr>
      <w:r w:rsidRPr="00DF5A0F">
        <w:rPr>
          <w:rFonts w:ascii="Arial" w:eastAsia="Aptos" w:hAnsi="Arial" w:cs="Arial"/>
          <w:b/>
          <w:bCs/>
          <w:kern w:val="2"/>
          <w:sz w:val="24"/>
          <w:szCs w:val="24"/>
          <w:lang w:val="en-AU"/>
          <w14:ligatures w14:val="standardContextual"/>
        </w:rPr>
        <w:t>Orders for Possession</w:t>
      </w:r>
    </w:p>
    <w:p w14:paraId="43A9A680" w14:textId="11DF7E50" w:rsidR="00DF5A0F" w:rsidRPr="00DF5A0F" w:rsidRDefault="00DF5A0F" w:rsidP="00F851E6">
      <w:pPr>
        <w:overflowPunct/>
        <w:autoSpaceDE/>
        <w:autoSpaceDN/>
        <w:adjustRightInd/>
        <w:spacing w:after="160"/>
        <w:jc w:val="both"/>
        <w:textAlignment w:val="auto"/>
        <w:rPr>
          <w:rFonts w:ascii="Arial" w:eastAsia="Aptos" w:hAnsi="Arial" w:cs="Arial"/>
          <w:b/>
          <w:bCs/>
          <w:kern w:val="2"/>
          <w:sz w:val="24"/>
          <w:szCs w:val="24"/>
          <w:lang w:val="en-AU"/>
          <w14:ligatures w14:val="standardContextual"/>
        </w:rPr>
      </w:pPr>
      <w:r w:rsidRPr="00DF5A0F">
        <w:rPr>
          <w:rFonts w:ascii="Arial" w:eastAsia="Aptos" w:hAnsi="Arial" w:cs="Arial"/>
          <w:kern w:val="2"/>
          <w:sz w:val="24"/>
          <w:szCs w:val="24"/>
          <w:lang w:val="en-AU"/>
          <w14:ligatures w14:val="standardContextual"/>
        </w:rPr>
        <w:t xml:space="preserve">Under section 106, a park owner may apply to TASCAT for an order for possession where a residential park agreement has terminated. </w:t>
      </w:r>
    </w:p>
    <w:p w14:paraId="5E6557E9" w14:textId="77777777" w:rsidR="00DF5A0F" w:rsidRDefault="00DF5A0F" w:rsidP="000517C1">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F5A0F">
        <w:rPr>
          <w:rFonts w:ascii="Arial" w:eastAsia="Aptos" w:hAnsi="Arial" w:cs="Arial"/>
          <w:kern w:val="2"/>
          <w:sz w:val="24"/>
          <w:szCs w:val="24"/>
          <w:lang w:val="en-AU"/>
          <w14:ligatures w14:val="standardContextual"/>
        </w:rPr>
        <w:t xml:space="preserve">If satisfied that the agreement has terminated, the Tribunal may make a possession order taking effect on a date specified in the order, being no more than seven days after the date of the order. However, where immediate possession would cause severe hardship to the resident, the Tribunal may suspend the operation of the possession order for up to 90 days and extend the operation of the residential park agreement during that period. The Tribunal may also modify the agreement while it remains in force, award compensation to a park owner for losses resulting from a resident’s failure to comply with a possession </w:t>
      </w:r>
      <w:proofErr w:type="gramStart"/>
      <w:r w:rsidRPr="00DF5A0F">
        <w:rPr>
          <w:rFonts w:ascii="Arial" w:eastAsia="Aptos" w:hAnsi="Arial" w:cs="Arial"/>
          <w:kern w:val="2"/>
          <w:sz w:val="24"/>
          <w:szCs w:val="24"/>
          <w:lang w:val="en-AU"/>
          <w14:ligatures w14:val="standardContextual"/>
        </w:rPr>
        <w:t>order, and</w:t>
      </w:r>
      <w:proofErr w:type="gramEnd"/>
      <w:r w:rsidRPr="00DF5A0F">
        <w:rPr>
          <w:rFonts w:ascii="Arial" w:eastAsia="Aptos" w:hAnsi="Arial" w:cs="Arial"/>
          <w:kern w:val="2"/>
          <w:sz w:val="24"/>
          <w:szCs w:val="24"/>
          <w:lang w:val="en-AU"/>
          <w14:ligatures w14:val="standardContextual"/>
        </w:rPr>
        <w:t xml:space="preserve"> order the resident to pay that compensation.</w:t>
      </w:r>
    </w:p>
    <w:p w14:paraId="70EA768F" w14:textId="77777777" w:rsidR="00DF5A0F" w:rsidRPr="00DF5A0F" w:rsidRDefault="00DF5A0F" w:rsidP="00DF5A0F">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DF5A0F">
        <w:rPr>
          <w:rFonts w:ascii="Arial" w:eastAsia="Aptos" w:hAnsi="Arial" w:cs="Arial"/>
          <w:b/>
          <w:bCs/>
          <w:kern w:val="2"/>
          <w:sz w:val="24"/>
          <w:szCs w:val="24"/>
          <w:lang w:val="en-AU"/>
          <w14:ligatures w14:val="standardContextual"/>
        </w:rPr>
        <w:t>Abandonment of Rented Property</w:t>
      </w:r>
    </w:p>
    <w:p w14:paraId="5341E99B" w14:textId="77777777" w:rsidR="00DF5A0F" w:rsidRPr="00D74DE4" w:rsidRDefault="00DF5A0F"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74DE4">
        <w:rPr>
          <w:rFonts w:ascii="Arial" w:eastAsia="Aptos" w:hAnsi="Arial" w:cs="Arial"/>
          <w:kern w:val="2"/>
          <w:sz w:val="24"/>
          <w:szCs w:val="24"/>
          <w:lang w:val="en-AU"/>
          <w14:ligatures w14:val="standardContextual"/>
        </w:rPr>
        <w:t xml:space="preserve">Under section 107, a park owner may apply to TASCAT for a declaration that a resident has abandoned rented property and for an order for immediate possession. </w:t>
      </w:r>
    </w:p>
    <w:p w14:paraId="22ABC7B0" w14:textId="77777777" w:rsidR="00DF5A0F" w:rsidRPr="00D74DE4" w:rsidRDefault="00DF5A0F"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74DE4">
        <w:rPr>
          <w:rFonts w:ascii="Arial" w:eastAsia="Aptos" w:hAnsi="Arial" w:cs="Arial"/>
          <w:kern w:val="2"/>
          <w:sz w:val="24"/>
          <w:szCs w:val="24"/>
          <w:lang w:val="en-AU"/>
          <w14:ligatures w14:val="standardContextual"/>
        </w:rPr>
        <w:t xml:space="preserve">In determining whether property has been abandoned, the Tribunal considers a range of circumstances, including whether rent is unpaid, whether the dwelling is unoccupied and neglected, whether mail is being collected, whether services have been disconnected, whether personal effects have been removed and any other relevant </w:t>
      </w:r>
      <w:r w:rsidRPr="00D74DE4">
        <w:rPr>
          <w:rFonts w:ascii="Arial" w:eastAsia="Aptos" w:hAnsi="Arial" w:cs="Arial"/>
          <w:kern w:val="2"/>
          <w:sz w:val="24"/>
          <w:szCs w:val="24"/>
          <w:lang w:val="en-AU"/>
          <w14:ligatures w14:val="standardContextual"/>
        </w:rPr>
        <w:lastRenderedPageBreak/>
        <w:t xml:space="preserve">matter. Where abandonment is established, the Tribunal may also order the resident to compensate the park owner for losses arising from the abandonment, including loss of rent, provided those losses could not reasonably have been mitigated by the park owner. </w:t>
      </w:r>
    </w:p>
    <w:p w14:paraId="33185F63" w14:textId="77777777" w:rsidR="00DF5A0F" w:rsidRPr="00D74DE4" w:rsidRDefault="00DF5A0F" w:rsidP="00DF5A0F">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D74DE4">
        <w:rPr>
          <w:rFonts w:ascii="Arial" w:eastAsia="Aptos" w:hAnsi="Arial" w:cs="Arial"/>
          <w:b/>
          <w:bCs/>
          <w:kern w:val="2"/>
          <w:sz w:val="24"/>
          <w:szCs w:val="24"/>
          <w:lang w:val="en-AU"/>
          <w14:ligatures w14:val="standardContextual"/>
        </w:rPr>
        <w:t>Enforcement of Possession Orders</w:t>
      </w:r>
    </w:p>
    <w:p w14:paraId="49103880" w14:textId="77777777" w:rsidR="00DF5A0F" w:rsidRDefault="00DF5A0F"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74DE4">
        <w:rPr>
          <w:rFonts w:ascii="Arial" w:eastAsia="Aptos" w:hAnsi="Arial" w:cs="Arial"/>
          <w:kern w:val="2"/>
          <w:sz w:val="24"/>
          <w:szCs w:val="24"/>
          <w:lang w:val="en-AU"/>
          <w14:ligatures w14:val="standardContextual"/>
        </w:rPr>
        <w:t>If TASCAT has made an order for possession, the person in whose favour the order was made may request an enforcement order under section 110. If satisfied that enforcement is reasonable in the circumstances, the Tribunal must make an enforcement order identifying the person or class of persons authorised to enforce the possession order and may authorise specific enforcement actions.</w:t>
      </w:r>
    </w:p>
    <w:tbl>
      <w:tblPr>
        <w:tblStyle w:val="TableGrid"/>
        <w:tblW w:w="9072" w:type="dxa"/>
        <w:tblInd w:w="-5" w:type="dxa"/>
        <w:tblLook w:val="04A0" w:firstRow="1" w:lastRow="0" w:firstColumn="1" w:lastColumn="0" w:noHBand="0" w:noVBand="1"/>
      </w:tblPr>
      <w:tblGrid>
        <w:gridCol w:w="9072"/>
      </w:tblGrid>
      <w:tr w:rsidR="00D74DE4" w:rsidRPr="00464888" w14:paraId="19E19776" w14:textId="77777777" w:rsidTr="00154A0F">
        <w:trPr>
          <w:trHeight w:val="163"/>
        </w:trPr>
        <w:tc>
          <w:tcPr>
            <w:tcW w:w="9072" w:type="dxa"/>
            <w:shd w:val="clear" w:color="auto" w:fill="4F758B"/>
          </w:tcPr>
          <w:p w14:paraId="5CB1539D" w14:textId="2A0D117A" w:rsidR="00D74DE4" w:rsidRPr="00D74DE4" w:rsidRDefault="00D74DE4" w:rsidP="00154A0F">
            <w:pPr>
              <w:spacing w:before="120" w:after="240"/>
              <w:contextualSpacing/>
              <w:jc w:val="both"/>
              <w:rPr>
                <w:rFonts w:ascii="Arial" w:hAnsi="Arial" w:cs="Arial"/>
                <w:b/>
                <w:bCs/>
                <w:color w:val="FFFFFF"/>
                <w:sz w:val="36"/>
                <w:szCs w:val="36"/>
              </w:rPr>
            </w:pPr>
            <w:r>
              <w:rPr>
                <w:rFonts w:ascii="Arial" w:hAnsi="Arial" w:cs="Arial"/>
                <w:b/>
                <w:bCs/>
                <w:color w:val="FFFFFF"/>
                <w:sz w:val="36"/>
                <w:szCs w:val="36"/>
              </w:rPr>
              <w:t>RETALIATION ACTION</w:t>
            </w:r>
          </w:p>
        </w:tc>
      </w:tr>
    </w:tbl>
    <w:p w14:paraId="0B19D3C3" w14:textId="1A7BD7F5" w:rsidR="00D74DE4" w:rsidRPr="00D74DE4" w:rsidRDefault="00D74DE4" w:rsidP="00F851E6">
      <w:pPr>
        <w:overflowPunct/>
        <w:autoSpaceDE/>
        <w:autoSpaceDN/>
        <w:adjustRightInd/>
        <w:spacing w:before="240" w:after="160"/>
        <w:jc w:val="both"/>
        <w:textAlignment w:val="auto"/>
        <w:rPr>
          <w:rFonts w:ascii="Arial" w:eastAsia="Aptos" w:hAnsi="Arial" w:cs="Arial"/>
          <w:kern w:val="2"/>
          <w:sz w:val="24"/>
          <w:szCs w:val="24"/>
          <w:lang w:val="en-AU"/>
          <w14:ligatures w14:val="standardContextual"/>
        </w:rPr>
      </w:pPr>
      <w:r w:rsidRPr="00D74DE4">
        <w:rPr>
          <w:rFonts w:ascii="Arial" w:eastAsia="Aptos" w:hAnsi="Arial" w:cs="Arial"/>
          <w:kern w:val="2"/>
          <w:sz w:val="24"/>
          <w:szCs w:val="24"/>
          <w:lang w:val="en-AU"/>
          <w14:ligatures w14:val="standardContextual"/>
        </w:rPr>
        <w:t>Section 111 provides protections against retaliatory action by a park owner.</w:t>
      </w:r>
    </w:p>
    <w:p w14:paraId="78DD8FF1" w14:textId="77777777" w:rsidR="00D74DE4" w:rsidRPr="00D74DE4" w:rsidRDefault="00D74DE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74DE4">
        <w:rPr>
          <w:rFonts w:ascii="Arial" w:eastAsia="Aptos" w:hAnsi="Arial" w:cs="Arial"/>
          <w:kern w:val="2"/>
          <w:sz w:val="24"/>
          <w:szCs w:val="24"/>
          <w:lang w:val="en-AU"/>
          <w14:ligatures w14:val="standardContextual"/>
        </w:rPr>
        <w:t xml:space="preserve">The Tribunal may consider whether an application for possession or termination, or a notice of termination, was wholly or partly motivated by a resident having complained to a government authority or sought to secure or enforce their rights as a resident. </w:t>
      </w:r>
    </w:p>
    <w:p w14:paraId="66E801EA" w14:textId="77777777" w:rsidR="00D74DE4" w:rsidRPr="00D74DE4" w:rsidRDefault="00D74DE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D74DE4">
        <w:rPr>
          <w:rFonts w:ascii="Arial" w:eastAsia="Aptos" w:hAnsi="Arial" w:cs="Arial"/>
          <w:kern w:val="2"/>
          <w:sz w:val="24"/>
          <w:szCs w:val="24"/>
          <w:lang w:val="en-AU"/>
          <w14:ligatures w14:val="standardContextual"/>
        </w:rPr>
        <w:t>If satisfied that the action was retaliatory, the Tribunal may refuse the park owner's application and/or reinstate the residential park agreement on conditions it considers appropriate. Where a resident alleges retaliatory action and has, within the previous six months, complained to a government authority or exercised statutory rights, the burden shifts to the park owner to prove that the impugned action was not motivated by those activities</w:t>
      </w:r>
    </w:p>
    <w:tbl>
      <w:tblPr>
        <w:tblStyle w:val="TableGrid"/>
        <w:tblW w:w="9072" w:type="dxa"/>
        <w:tblInd w:w="-5" w:type="dxa"/>
        <w:tblLook w:val="04A0" w:firstRow="1" w:lastRow="0" w:firstColumn="1" w:lastColumn="0" w:noHBand="0" w:noVBand="1"/>
      </w:tblPr>
      <w:tblGrid>
        <w:gridCol w:w="9072"/>
      </w:tblGrid>
      <w:tr w:rsidR="00D74DE4" w:rsidRPr="00464888" w14:paraId="2A0D52C8" w14:textId="77777777" w:rsidTr="00154A0F">
        <w:trPr>
          <w:trHeight w:val="163"/>
        </w:trPr>
        <w:tc>
          <w:tcPr>
            <w:tcW w:w="9072" w:type="dxa"/>
            <w:shd w:val="clear" w:color="auto" w:fill="4F758B"/>
          </w:tcPr>
          <w:p w14:paraId="195D442E" w14:textId="7B227485" w:rsidR="00D74DE4" w:rsidRPr="00D74DE4" w:rsidRDefault="00D74DE4" w:rsidP="00154A0F">
            <w:pPr>
              <w:spacing w:before="120" w:after="240"/>
              <w:contextualSpacing/>
              <w:jc w:val="both"/>
              <w:rPr>
                <w:rFonts w:ascii="Arial" w:hAnsi="Arial" w:cs="Arial"/>
                <w:b/>
                <w:bCs/>
                <w:color w:val="FFFFFF"/>
                <w:sz w:val="36"/>
                <w:szCs w:val="36"/>
              </w:rPr>
            </w:pPr>
            <w:r>
              <w:rPr>
                <w:rFonts w:ascii="Arial" w:hAnsi="Arial" w:cs="Arial"/>
                <w:b/>
                <w:bCs/>
                <w:color w:val="FFFFFF"/>
                <w:sz w:val="36"/>
                <w:szCs w:val="36"/>
              </w:rPr>
              <w:t>WHAT ORDERS CAN TASCAT MAKE</w:t>
            </w:r>
          </w:p>
        </w:tc>
      </w:tr>
    </w:tbl>
    <w:p w14:paraId="7EC68027" w14:textId="6D9E6777" w:rsidR="00D74DE4" w:rsidRDefault="00D74DE4" w:rsidP="00F851E6">
      <w:pPr>
        <w:overflowPunct/>
        <w:autoSpaceDE/>
        <w:autoSpaceDN/>
        <w:adjustRightInd/>
        <w:spacing w:line="278" w:lineRule="auto"/>
        <w:textAlignment w:val="auto"/>
        <w:rPr>
          <w:rFonts w:ascii="Arial" w:eastAsia="Aptos" w:hAnsi="Arial" w:cs="Arial"/>
          <w:kern w:val="2"/>
          <w:sz w:val="24"/>
          <w:szCs w:val="24"/>
          <w:lang w:val="en-AU"/>
          <w14:ligatures w14:val="standardContextual"/>
        </w:rPr>
      </w:pPr>
    </w:p>
    <w:p w14:paraId="5275D942" w14:textId="6E5073AD" w:rsidR="00897C52" w:rsidRPr="00897C52" w:rsidRDefault="00897C52"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 xml:space="preserve">In addition to the powers that apply to </w:t>
      </w:r>
      <w:proofErr w:type="gramStart"/>
      <w:r w:rsidRPr="00897C52">
        <w:rPr>
          <w:rFonts w:ascii="Arial" w:eastAsia="Aptos" w:hAnsi="Arial" w:cs="Arial"/>
          <w:kern w:val="2"/>
          <w:sz w:val="24"/>
          <w:szCs w:val="24"/>
          <w:lang w:val="en-AU"/>
          <w14:ligatures w14:val="standardContextual"/>
        </w:rPr>
        <w:t>particular types</w:t>
      </w:r>
      <w:proofErr w:type="gramEnd"/>
      <w:r w:rsidRPr="00897C52">
        <w:rPr>
          <w:rFonts w:ascii="Arial" w:eastAsia="Aptos" w:hAnsi="Arial" w:cs="Arial"/>
          <w:kern w:val="2"/>
          <w:sz w:val="24"/>
          <w:szCs w:val="24"/>
          <w:lang w:val="en-AU"/>
          <w14:ligatures w14:val="standardContextual"/>
        </w:rPr>
        <w:t xml:space="preserve"> of applications, section 98 gives TASCAT broad powers to resolve residential park disputes.</w:t>
      </w:r>
    </w:p>
    <w:p w14:paraId="0E1CA660" w14:textId="77777777" w:rsidR="00897C52" w:rsidRPr="00897C52" w:rsidRDefault="00897C52"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Depending on the nature of the dispute, TASCAT may, among other things:</w:t>
      </w:r>
    </w:p>
    <w:p w14:paraId="7C276BD7" w14:textId="4B7EEB8B" w:rsidR="00897C52" w:rsidRPr="00155310"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 xml:space="preserve">restrain </w:t>
      </w:r>
      <w:r w:rsidR="00155310" w:rsidRPr="00155310">
        <w:rPr>
          <w:rFonts w:ascii="Arial" w:eastAsia="Aptos" w:hAnsi="Arial" w:cs="Arial"/>
          <w:kern w:val="2"/>
          <w:sz w:val="24"/>
          <w:szCs w:val="24"/>
          <w:lang w:val="en-AU"/>
          <w14:ligatures w14:val="standardContextual"/>
        </w:rPr>
        <w:t>an action that breaches the Act or a residential park agreement;</w:t>
      </w:r>
    </w:p>
    <w:p w14:paraId="0F611570" w14:textId="77777777" w:rsidR="00897C52" w:rsidRPr="00897C52"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require a person to comply with an obligation under the Act or an agreement;</w:t>
      </w:r>
    </w:p>
    <w:p w14:paraId="1A8026C2" w14:textId="77777777" w:rsidR="00897C52" w:rsidRPr="00897C52"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order a person to make a payment, including compensation;</w:t>
      </w:r>
    </w:p>
    <w:p w14:paraId="415B9560" w14:textId="77777777" w:rsidR="00897C52" w:rsidRPr="00897C52"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modify a residential park agreement, including to allow a resident to recover compensation through a reduction in rent;</w:t>
      </w:r>
    </w:p>
    <w:p w14:paraId="717E66DA" w14:textId="10838B0A" w:rsidR="00897C52" w:rsidRPr="00897C52"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 xml:space="preserve">relieve a party from an obligation under </w:t>
      </w:r>
      <w:r w:rsidR="00155310">
        <w:rPr>
          <w:rFonts w:ascii="Arial" w:eastAsia="Aptos" w:hAnsi="Arial" w:cs="Arial"/>
          <w:kern w:val="2"/>
          <w:sz w:val="24"/>
          <w:szCs w:val="24"/>
          <w:lang w:val="en-AU"/>
          <w14:ligatures w14:val="standardContextual"/>
        </w:rPr>
        <w:t>a</w:t>
      </w:r>
      <w:r w:rsidR="00155310" w:rsidRPr="00155310">
        <w:rPr>
          <w:rFonts w:ascii="Arial" w:eastAsia="Aptos" w:hAnsi="Arial" w:cs="Arial"/>
          <w:kern w:val="2"/>
          <w:sz w:val="24"/>
          <w:szCs w:val="24"/>
          <w14:ligatures w14:val="standardContextual"/>
        </w:rPr>
        <w:t xml:space="preserve"> residential park agreement</w:t>
      </w:r>
      <w:r w:rsidRPr="00897C52">
        <w:rPr>
          <w:rFonts w:ascii="Arial" w:eastAsia="Aptos" w:hAnsi="Arial" w:cs="Arial"/>
          <w:kern w:val="2"/>
          <w:sz w:val="24"/>
          <w:szCs w:val="24"/>
          <w:lang w:val="en-AU"/>
          <w14:ligatures w14:val="standardContextual"/>
        </w:rPr>
        <w:t>;</w:t>
      </w:r>
    </w:p>
    <w:p w14:paraId="193CB761" w14:textId="77777777" w:rsidR="00897C52" w:rsidRPr="00897C52"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terminate an agreement or declare whether an agreement has or has not terminated;</w:t>
      </w:r>
    </w:p>
    <w:p w14:paraId="4953B338" w14:textId="4AE82FA6" w:rsidR="00897C52" w:rsidRPr="00897C52"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reinstate rights under a</w:t>
      </w:r>
      <w:r w:rsidR="00155310" w:rsidRPr="00155310">
        <w:t xml:space="preserve"> </w:t>
      </w:r>
      <w:r w:rsidR="00155310" w:rsidRPr="00155310">
        <w:rPr>
          <w:rFonts w:ascii="Arial" w:eastAsia="Aptos" w:hAnsi="Arial" w:cs="Arial"/>
          <w:kern w:val="2"/>
          <w:sz w:val="24"/>
          <w:szCs w:val="24"/>
          <w14:ligatures w14:val="standardContextual"/>
        </w:rPr>
        <w:t>residential park agreement that have been forfeited or have otherwise terminated</w:t>
      </w:r>
      <w:r w:rsidRPr="00897C52">
        <w:rPr>
          <w:rFonts w:ascii="Arial" w:eastAsia="Aptos" w:hAnsi="Arial" w:cs="Arial"/>
          <w:kern w:val="2"/>
          <w:sz w:val="24"/>
          <w:szCs w:val="24"/>
          <w:lang w:val="en-AU"/>
          <w14:ligatures w14:val="standardContextual"/>
        </w:rPr>
        <w:t>;</w:t>
      </w:r>
    </w:p>
    <w:p w14:paraId="2B0F40EA" w14:textId="77777777" w:rsidR="00897C52" w:rsidRPr="00897C52"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make orders concerning the payment of rent or the distribution of a security deposit;</w:t>
      </w:r>
    </w:p>
    <w:p w14:paraId="033A151F" w14:textId="77777777" w:rsidR="00897C52" w:rsidRPr="00897C52"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require a resident to give up possession of rented property; and</w:t>
      </w:r>
    </w:p>
    <w:p w14:paraId="6648FE02" w14:textId="77777777" w:rsidR="00897C52" w:rsidRPr="00897C52" w:rsidRDefault="00897C52" w:rsidP="00F851E6">
      <w:pPr>
        <w:numPr>
          <w:ilvl w:val="0"/>
          <w:numId w:val="35"/>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lastRenderedPageBreak/>
        <w:t xml:space="preserve">make any other orders necessary or desirable to resolve the residential park dispute. </w:t>
      </w:r>
    </w:p>
    <w:p w14:paraId="194571F7" w14:textId="77777777" w:rsidR="00897C52" w:rsidRPr="00897C52" w:rsidRDefault="00897C52"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 xml:space="preserve">TASCAT does not have jurisdiction under section 98 to award compensation for damages arising from personal injury. </w:t>
      </w:r>
    </w:p>
    <w:p w14:paraId="1831D60B" w14:textId="77777777" w:rsidR="00897C52" w:rsidRDefault="00897C52"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897C52">
        <w:rPr>
          <w:rFonts w:ascii="Arial" w:eastAsia="Aptos" w:hAnsi="Arial" w:cs="Arial"/>
          <w:kern w:val="2"/>
          <w:sz w:val="24"/>
          <w:szCs w:val="24"/>
          <w:lang w:val="en-AU"/>
          <w14:ligatures w14:val="standardContextual"/>
        </w:rPr>
        <w:t xml:space="preserve">Under section 99, TASCAT may also make orders </w:t>
      </w:r>
      <w:proofErr w:type="gramStart"/>
      <w:r w:rsidRPr="00897C52">
        <w:rPr>
          <w:rFonts w:ascii="Arial" w:eastAsia="Aptos" w:hAnsi="Arial" w:cs="Arial"/>
          <w:kern w:val="2"/>
          <w:sz w:val="24"/>
          <w:szCs w:val="24"/>
          <w:lang w:val="en-AU"/>
          <w14:ligatures w14:val="standardContextual"/>
        </w:rPr>
        <w:t>in the nature of an</w:t>
      </w:r>
      <w:proofErr w:type="gramEnd"/>
      <w:r w:rsidRPr="00897C52">
        <w:rPr>
          <w:rFonts w:ascii="Arial" w:eastAsia="Aptos" w:hAnsi="Arial" w:cs="Arial"/>
          <w:kern w:val="2"/>
          <w:sz w:val="24"/>
          <w:szCs w:val="24"/>
          <w:lang w:val="en-AU"/>
          <w14:ligatures w14:val="standardContextual"/>
        </w:rPr>
        <w:t xml:space="preserve"> injunction, including an interim injunction, orders for specific performance, or orders that are ancillary or incidental to the proceedings. The Tribunal may impose conditions on an order where appropriate. </w:t>
      </w:r>
    </w:p>
    <w:tbl>
      <w:tblPr>
        <w:tblStyle w:val="TableGrid"/>
        <w:tblW w:w="9072" w:type="dxa"/>
        <w:tblInd w:w="-5" w:type="dxa"/>
        <w:tblLook w:val="04A0" w:firstRow="1" w:lastRow="0" w:firstColumn="1" w:lastColumn="0" w:noHBand="0" w:noVBand="1"/>
      </w:tblPr>
      <w:tblGrid>
        <w:gridCol w:w="9072"/>
      </w:tblGrid>
      <w:tr w:rsidR="00CC59DF" w:rsidRPr="00464888" w14:paraId="572F77A4" w14:textId="77777777" w:rsidTr="00154A0F">
        <w:trPr>
          <w:trHeight w:val="163"/>
        </w:trPr>
        <w:tc>
          <w:tcPr>
            <w:tcW w:w="9072" w:type="dxa"/>
            <w:shd w:val="clear" w:color="auto" w:fill="4F758B"/>
          </w:tcPr>
          <w:p w14:paraId="4F7BB083" w14:textId="15EF9D47" w:rsidR="00CC59DF" w:rsidRPr="00CC59DF" w:rsidRDefault="00CC59DF" w:rsidP="00154A0F">
            <w:pPr>
              <w:spacing w:before="120" w:after="240"/>
              <w:contextualSpacing/>
              <w:jc w:val="both"/>
              <w:rPr>
                <w:rFonts w:ascii="Arial" w:hAnsi="Arial" w:cs="Arial"/>
                <w:b/>
                <w:bCs/>
                <w:color w:val="FFFFFF"/>
                <w:sz w:val="36"/>
                <w:szCs w:val="36"/>
              </w:rPr>
            </w:pPr>
            <w:r w:rsidRPr="00CC59DF">
              <w:rPr>
                <w:rFonts w:ascii="Arial" w:hAnsi="Arial" w:cs="Arial"/>
                <w:b/>
                <w:bCs/>
                <w:color w:val="FFFFFF"/>
                <w:sz w:val="36"/>
                <w:szCs w:val="36"/>
              </w:rPr>
              <w:t>PROCESS SUMMARY</w:t>
            </w:r>
          </w:p>
        </w:tc>
      </w:tr>
    </w:tbl>
    <w:p w14:paraId="2B21EC87" w14:textId="77777777" w:rsidR="00CC59DF" w:rsidRPr="00897C52" w:rsidRDefault="00CC59DF" w:rsidP="00F851E6">
      <w:pPr>
        <w:overflowPunct/>
        <w:autoSpaceDE/>
        <w:autoSpaceDN/>
        <w:adjustRightInd/>
        <w:spacing w:line="278" w:lineRule="auto"/>
        <w:textAlignment w:val="auto"/>
        <w:rPr>
          <w:rFonts w:ascii="Arial" w:eastAsia="Aptos" w:hAnsi="Arial" w:cs="Arial"/>
          <w:kern w:val="2"/>
          <w:sz w:val="24"/>
          <w:szCs w:val="24"/>
          <w:lang w:val="en-AU"/>
          <w14:ligatures w14:val="standardContextual"/>
        </w:rPr>
      </w:pPr>
    </w:p>
    <w:p w14:paraId="7CF632BE" w14:textId="7255D9CA" w:rsidR="00667CD4" w:rsidRPr="00667CD4" w:rsidRDefault="00667CD4" w:rsidP="00667CD4">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667CD4">
        <w:rPr>
          <w:rFonts w:ascii="Arial" w:eastAsia="Aptos" w:hAnsi="Arial" w:cs="Arial"/>
          <w:b/>
          <w:bCs/>
          <w:kern w:val="2"/>
          <w:sz w:val="24"/>
          <w:szCs w:val="24"/>
          <w:lang w:val="en-AU"/>
          <w14:ligatures w14:val="standardContextual"/>
        </w:rPr>
        <w:t>How to Lodge an application:</w:t>
      </w:r>
    </w:p>
    <w:p w14:paraId="0C05A04F" w14:textId="77777777" w:rsid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 xml:space="preserve">Applications in relation to Residential Parks matters are made to TASCAT using the </w:t>
      </w:r>
      <w:hyperlink r:id="rId8" w:history="1">
        <w:r w:rsidRPr="00667CD4">
          <w:rPr>
            <w:rStyle w:val="Hyperlink"/>
            <w:rFonts w:ascii="Arial" w:eastAsia="Aptos" w:hAnsi="Arial" w:cs="Arial"/>
            <w:kern w:val="2"/>
            <w:sz w:val="24"/>
            <w:szCs w:val="24"/>
            <w:lang w:val="en-AU"/>
            <w14:ligatures w14:val="standardContextual"/>
          </w:rPr>
          <w:t>General Application Form</w:t>
        </w:r>
      </w:hyperlink>
      <w:r w:rsidRPr="00667CD4">
        <w:rPr>
          <w:rFonts w:ascii="Arial" w:eastAsia="Aptos" w:hAnsi="Arial" w:cs="Arial"/>
          <w:kern w:val="2"/>
          <w:sz w:val="24"/>
          <w:szCs w:val="24"/>
          <w:lang w:val="en-AU"/>
          <w14:ligatures w14:val="standardContextual"/>
        </w:rPr>
        <w:t xml:space="preserve"> or </w:t>
      </w:r>
      <w:hyperlink r:id="rId9" w:history="1">
        <w:r w:rsidRPr="00667CD4">
          <w:rPr>
            <w:rStyle w:val="Hyperlink"/>
            <w:rFonts w:ascii="Arial" w:eastAsia="Aptos" w:hAnsi="Arial" w:cs="Arial"/>
            <w:kern w:val="2"/>
            <w:sz w:val="24"/>
            <w:szCs w:val="24"/>
            <w:lang w:val="en-AU"/>
            <w14:ligatures w14:val="standardContextual"/>
          </w:rPr>
          <w:t>General Review Form</w:t>
        </w:r>
      </w:hyperlink>
      <w:r w:rsidRPr="00667CD4">
        <w:rPr>
          <w:rFonts w:ascii="Arial" w:eastAsia="Aptos" w:hAnsi="Arial" w:cs="Arial"/>
          <w:kern w:val="2"/>
          <w:sz w:val="24"/>
          <w:szCs w:val="24"/>
          <w:lang w:val="en-AU"/>
          <w14:ligatures w14:val="standardContextual"/>
        </w:rPr>
        <w:t xml:space="preserve">, as applicable to the </w:t>
      </w:r>
      <w:proofErr w:type="gramStart"/>
      <w:r w:rsidRPr="00667CD4">
        <w:rPr>
          <w:rFonts w:ascii="Arial" w:eastAsia="Aptos" w:hAnsi="Arial" w:cs="Arial"/>
          <w:kern w:val="2"/>
          <w:sz w:val="24"/>
          <w:szCs w:val="24"/>
          <w:lang w:val="en-AU"/>
          <w14:ligatures w14:val="standardContextual"/>
        </w:rPr>
        <w:t>particular type of application</w:t>
      </w:r>
      <w:proofErr w:type="gramEnd"/>
      <w:r w:rsidRPr="00667CD4">
        <w:rPr>
          <w:rFonts w:ascii="Arial" w:eastAsia="Aptos" w:hAnsi="Arial" w:cs="Arial"/>
          <w:kern w:val="2"/>
          <w:sz w:val="24"/>
          <w:szCs w:val="24"/>
          <w:lang w:val="en-AU"/>
          <w14:ligatures w14:val="standardContextual"/>
        </w:rPr>
        <w:t>.</w:t>
      </w:r>
    </w:p>
    <w:p w14:paraId="6366906D" w14:textId="1F60B973" w:rsidR="00871B5B" w:rsidRPr="00871B5B" w:rsidRDefault="00871B5B"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Pr>
          <w:rFonts w:ascii="Arial" w:eastAsia="Aptos" w:hAnsi="Arial" w:cs="Arial"/>
          <w:kern w:val="2"/>
          <w:sz w:val="24"/>
          <w:szCs w:val="24"/>
          <w:lang w:val="en-AU"/>
          <w14:ligatures w14:val="standardContextual"/>
        </w:rPr>
        <w:t xml:space="preserve">A table with the type of applications can be found at </w:t>
      </w:r>
      <w:hyperlink r:id="rId10" w:history="1">
        <w:r w:rsidRPr="00871B5B">
          <w:rPr>
            <w:rFonts w:ascii="Arial" w:hAnsi="Arial" w:cs="Arial"/>
            <w:color w:val="0000FF"/>
            <w:sz w:val="24"/>
            <w:szCs w:val="24"/>
            <w:u w:val="single"/>
          </w:rPr>
          <w:t>Types of Applications | Civil and Consumer Stream (TASCAT)</w:t>
        </w:r>
      </w:hyperlink>
    </w:p>
    <w:p w14:paraId="4EE39EC9"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 xml:space="preserve">You need to complete the relevant form and attach any additional information you wish to rely upon and email it to </w:t>
      </w:r>
      <w:hyperlink r:id="rId11" w:history="1">
        <w:r w:rsidRPr="00A52C4B">
          <w:rPr>
            <w:rStyle w:val="Hyperlink"/>
            <w:rFonts w:ascii="Arial" w:eastAsia="Aptos" w:hAnsi="Arial" w:cs="Arial"/>
            <w:kern w:val="2"/>
            <w:sz w:val="24"/>
            <w:szCs w:val="24"/>
            <w:lang w:val="en-AU"/>
            <w14:ligatures w14:val="standardContextual"/>
          </w:rPr>
          <w:t>ccs@tascat.tas.gov.au</w:t>
        </w:r>
      </w:hyperlink>
      <w:r w:rsidRPr="00A52C4B">
        <w:rPr>
          <w:rFonts w:ascii="Arial" w:eastAsia="Aptos" w:hAnsi="Arial" w:cs="Arial"/>
          <w:kern w:val="2"/>
          <w:sz w:val="24"/>
          <w:szCs w:val="24"/>
          <w:lang w:val="en-AU"/>
          <w14:ligatures w14:val="standardContextual"/>
        </w:rPr>
        <w:t xml:space="preserve"> </w:t>
      </w:r>
      <w:r w:rsidRPr="00667CD4">
        <w:rPr>
          <w:rFonts w:ascii="Arial" w:eastAsia="Aptos" w:hAnsi="Arial" w:cs="Arial"/>
          <w:kern w:val="2"/>
          <w:sz w:val="24"/>
          <w:szCs w:val="24"/>
          <w:lang w:val="en-AU"/>
          <w14:ligatures w14:val="standardContextual"/>
        </w:rPr>
        <w:t>or lodge it at the Tribunal.</w:t>
      </w:r>
    </w:p>
    <w:p w14:paraId="0D4F65AE" w14:textId="3F420AD5"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 xml:space="preserve">Some applications under the </w:t>
      </w:r>
      <w:r w:rsidR="009D12A6" w:rsidRPr="00025E34">
        <w:rPr>
          <w:rFonts w:ascii="Arial" w:eastAsia="Aptos" w:hAnsi="Arial" w:cs="Arial"/>
          <w:kern w:val="2"/>
          <w:sz w:val="24"/>
          <w:szCs w:val="24"/>
          <w:lang w:val="en-AU"/>
          <w14:ligatures w14:val="standardContextual"/>
        </w:rPr>
        <w:t>Act</w:t>
      </w:r>
      <w:r w:rsidRPr="00667CD4">
        <w:rPr>
          <w:rFonts w:ascii="Arial" w:eastAsia="Aptos" w:hAnsi="Arial" w:cs="Arial"/>
          <w:kern w:val="2"/>
          <w:sz w:val="24"/>
          <w:szCs w:val="24"/>
          <w:lang w:val="en-AU"/>
          <w14:ligatures w14:val="standardContextual"/>
        </w:rPr>
        <w:t xml:space="preserve"> are subject to specific statutory time limits. It is important to check the provision relevant to your application and lodge your application within any applicable time limit.</w:t>
      </w:r>
    </w:p>
    <w:p w14:paraId="39FC83D3"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For example:</w:t>
      </w:r>
    </w:p>
    <w:p w14:paraId="275A17A9" w14:textId="77777777" w:rsidR="00667CD4" w:rsidRPr="00667CD4" w:rsidRDefault="00667CD4" w:rsidP="00F851E6">
      <w:pPr>
        <w:numPr>
          <w:ilvl w:val="0"/>
          <w:numId w:val="36"/>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an excessive rent application under section 52 must be made within 60 days after receiving notice of the increase;</w:t>
      </w:r>
    </w:p>
    <w:p w14:paraId="464A7859" w14:textId="77777777" w:rsidR="00667CD4" w:rsidRPr="00667CD4" w:rsidRDefault="00667CD4" w:rsidP="00F851E6">
      <w:pPr>
        <w:numPr>
          <w:ilvl w:val="0"/>
          <w:numId w:val="36"/>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an urgent application by a park owner under section 101 must be made within 2</w:t>
      </w:r>
      <w:r w:rsidRPr="00667CD4">
        <w:rPr>
          <w:rFonts w:ascii="Arial" w:eastAsia="Aptos" w:hAnsi="Arial" w:cs="Arial"/>
          <w:b/>
          <w:bCs/>
          <w:kern w:val="2"/>
          <w:sz w:val="24"/>
          <w:szCs w:val="24"/>
          <w:lang w:val="en-AU"/>
          <w14:ligatures w14:val="standardContextual"/>
        </w:rPr>
        <w:t xml:space="preserve"> </w:t>
      </w:r>
      <w:r w:rsidRPr="00667CD4">
        <w:rPr>
          <w:rFonts w:ascii="Arial" w:eastAsia="Aptos" w:hAnsi="Arial" w:cs="Arial"/>
          <w:kern w:val="2"/>
          <w:sz w:val="24"/>
          <w:szCs w:val="24"/>
          <w:lang w:val="en-AU"/>
          <w14:ligatures w14:val="standardContextual"/>
        </w:rPr>
        <w:t>working days after the notice to leave is given; and</w:t>
      </w:r>
    </w:p>
    <w:p w14:paraId="31F7D2E3" w14:textId="77777777" w:rsidR="00667CD4" w:rsidRPr="00667CD4" w:rsidRDefault="00667CD4" w:rsidP="00F851E6">
      <w:pPr>
        <w:numPr>
          <w:ilvl w:val="0"/>
          <w:numId w:val="36"/>
        </w:num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 xml:space="preserve">an application under section 105 concerning the Commissioner's determination of a security deposit dispute must be made within 7 days after the dispute is determined. </w:t>
      </w:r>
    </w:p>
    <w:p w14:paraId="0B621F2B" w14:textId="2481F37E" w:rsidR="00667CD4" w:rsidRDefault="00667CD4" w:rsidP="000517C1">
      <w:pPr>
        <w:overflowPunct/>
        <w:autoSpaceDE/>
        <w:autoSpaceDN/>
        <w:adjustRightInd/>
        <w:spacing w:after="160"/>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If you need assistance, you can contact the Tribunal Registry for procedural help, but Registry staff cannot provide legal advice</w:t>
      </w:r>
      <w:r>
        <w:rPr>
          <w:rFonts w:ascii="Arial" w:eastAsia="Aptos" w:hAnsi="Arial" w:cs="Arial"/>
          <w:kern w:val="2"/>
          <w:sz w:val="24"/>
          <w:szCs w:val="24"/>
          <w:lang w:val="en-AU"/>
          <w14:ligatures w14:val="standardContextual"/>
        </w:rPr>
        <w:t>.</w:t>
      </w:r>
    </w:p>
    <w:p w14:paraId="0730B0A2" w14:textId="77777777" w:rsidR="00667CD4" w:rsidRPr="00667CD4" w:rsidRDefault="00667CD4" w:rsidP="00667CD4">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667CD4">
        <w:rPr>
          <w:rFonts w:ascii="Arial" w:eastAsia="Aptos" w:hAnsi="Arial" w:cs="Arial"/>
          <w:b/>
          <w:bCs/>
          <w:kern w:val="2"/>
          <w:sz w:val="24"/>
          <w:szCs w:val="24"/>
          <w:lang w:val="en-AU"/>
          <w14:ligatures w14:val="standardContextual"/>
        </w:rPr>
        <w:t>What Happens Next</w:t>
      </w:r>
    </w:p>
    <w:p w14:paraId="71F4E874"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The Tribunal will check your application. If you have provided all the information needed, the Tribunal will process your application.</w:t>
      </w:r>
    </w:p>
    <w:p w14:paraId="5B868D6B"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 xml:space="preserve">Residential Parks matters will generally follow the usual process for matters in the General Division. Matters will ordinarily be managed initially by a Senior Case Officer and, where appropriate, may be referred to alternative dispute resolution (ADR). A matter may be referred to a Tribunal Member where necessary. </w:t>
      </w:r>
    </w:p>
    <w:p w14:paraId="53EC35A2"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lastRenderedPageBreak/>
        <w:t xml:space="preserve">The procedure followed may vary depending upon the type and urgency of the application. </w:t>
      </w:r>
      <w:proofErr w:type="gramStart"/>
      <w:r w:rsidRPr="00667CD4">
        <w:rPr>
          <w:rFonts w:ascii="Arial" w:eastAsia="Aptos" w:hAnsi="Arial" w:cs="Arial"/>
          <w:kern w:val="2"/>
          <w:sz w:val="24"/>
          <w:szCs w:val="24"/>
          <w:lang w:val="en-AU"/>
          <w14:ligatures w14:val="standardContextual"/>
        </w:rPr>
        <w:t>In particular, urgent</w:t>
      </w:r>
      <w:proofErr w:type="gramEnd"/>
      <w:r w:rsidRPr="00667CD4">
        <w:rPr>
          <w:rFonts w:ascii="Arial" w:eastAsia="Aptos" w:hAnsi="Arial" w:cs="Arial"/>
          <w:kern w:val="2"/>
          <w:sz w:val="24"/>
          <w:szCs w:val="24"/>
          <w:lang w:val="en-AU"/>
          <w14:ligatures w14:val="standardContextual"/>
        </w:rPr>
        <w:t xml:space="preserve"> applications under section 101 may require an expedited process. </w:t>
      </w:r>
    </w:p>
    <w:p w14:paraId="27D27A0B" w14:textId="77777777" w:rsidR="00667CD4" w:rsidRPr="00667CD4" w:rsidRDefault="00667CD4" w:rsidP="00667CD4">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667CD4">
        <w:rPr>
          <w:rFonts w:ascii="Arial" w:eastAsia="Aptos" w:hAnsi="Arial" w:cs="Arial"/>
          <w:b/>
          <w:bCs/>
          <w:kern w:val="2"/>
          <w:sz w:val="24"/>
          <w:szCs w:val="24"/>
          <w:lang w:val="en-AU"/>
          <w14:ligatures w14:val="standardContextual"/>
        </w:rPr>
        <w:t>Teleconference</w:t>
      </w:r>
    </w:p>
    <w:p w14:paraId="50A0CAF1"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US"/>
          <w14:ligatures w14:val="standardContextual"/>
        </w:rPr>
      </w:pPr>
      <w:r w:rsidRPr="00667CD4">
        <w:rPr>
          <w:rFonts w:ascii="Arial" w:eastAsia="Aptos" w:hAnsi="Arial" w:cs="Arial"/>
          <w:kern w:val="2"/>
          <w:sz w:val="24"/>
          <w:szCs w:val="24"/>
          <w:lang w:val="en-AU"/>
          <w14:ligatures w14:val="standardContextual"/>
        </w:rPr>
        <w:t xml:space="preserve">In most matters, the Tribunal will list the matter for a teleconference. </w:t>
      </w:r>
      <w:r w:rsidRPr="00667CD4">
        <w:rPr>
          <w:rFonts w:ascii="Arial" w:eastAsia="Aptos" w:hAnsi="Arial" w:cs="Arial"/>
          <w:kern w:val="2"/>
          <w:sz w:val="24"/>
          <w:szCs w:val="24"/>
          <w:lang w:val="en-US"/>
          <w14:ligatures w14:val="standardContextual"/>
        </w:rPr>
        <w:t xml:space="preserve">The teleconference will be listed approximately 14 days from the date the Tribunal receives the application and will usually be conducted by an officer of the Tribunal. This will allow all parties sufficient time to consider the application and any evidence they wish to rely upon prior to the teleconference. You may attend the teleconference by phone, or alternatively, you may contact the Tribunal if you wish to appear </w:t>
      </w:r>
      <w:proofErr w:type="gramStart"/>
      <w:r w:rsidRPr="00667CD4">
        <w:rPr>
          <w:rFonts w:ascii="Arial" w:eastAsia="Aptos" w:hAnsi="Arial" w:cs="Arial"/>
          <w:kern w:val="2"/>
          <w:sz w:val="24"/>
          <w:szCs w:val="24"/>
          <w:lang w:val="en-US"/>
          <w14:ligatures w14:val="standardContextual"/>
        </w:rPr>
        <w:t>by</w:t>
      </w:r>
      <w:proofErr w:type="gramEnd"/>
      <w:r w:rsidRPr="00667CD4">
        <w:rPr>
          <w:rFonts w:ascii="Arial" w:eastAsia="Aptos" w:hAnsi="Arial" w:cs="Arial"/>
          <w:kern w:val="2"/>
          <w:sz w:val="24"/>
          <w:szCs w:val="24"/>
          <w:lang w:val="en-US"/>
          <w14:ligatures w14:val="standardContextual"/>
        </w:rPr>
        <w:t xml:space="preserve"> Microsoft Teams.</w:t>
      </w:r>
    </w:p>
    <w:p w14:paraId="43965C50"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The purpose of the teleconference is to:</w:t>
      </w:r>
    </w:p>
    <w:p w14:paraId="7A603DF4" w14:textId="77777777" w:rsidR="00667CD4" w:rsidRPr="00667CD4" w:rsidRDefault="00667CD4" w:rsidP="00F851E6">
      <w:pPr>
        <w:numPr>
          <w:ilvl w:val="0"/>
          <w:numId w:val="37"/>
        </w:numPr>
        <w:overflowPunct/>
        <w:autoSpaceDE/>
        <w:autoSpaceDN/>
        <w:adjustRightInd/>
        <w:spacing w:after="160"/>
        <w:jc w:val="both"/>
        <w:textAlignment w:val="auto"/>
        <w:rPr>
          <w:rFonts w:ascii="Arial" w:eastAsia="Aptos" w:hAnsi="Arial" w:cs="Arial"/>
          <w:b/>
          <w:bCs/>
          <w:i/>
          <w:iCs/>
          <w:kern w:val="2"/>
          <w:sz w:val="24"/>
          <w:szCs w:val="24"/>
          <w:lang w:val="en-AU"/>
          <w14:ligatures w14:val="standardContextual"/>
        </w:rPr>
      </w:pPr>
      <w:r w:rsidRPr="00667CD4">
        <w:rPr>
          <w:rFonts w:ascii="Arial" w:eastAsia="Aptos" w:hAnsi="Arial" w:cs="Arial"/>
          <w:kern w:val="2"/>
          <w:sz w:val="24"/>
          <w:szCs w:val="24"/>
          <w:lang w:val="en-AU"/>
          <w14:ligatures w14:val="standardContextual"/>
        </w:rPr>
        <w:t>Confirm the issues that are in dispute and that those issues are clearly set out and understood by all parties and the Tribunal.</w:t>
      </w:r>
    </w:p>
    <w:p w14:paraId="5935B220" w14:textId="77777777" w:rsidR="00667CD4" w:rsidRPr="00667CD4" w:rsidRDefault="00667CD4" w:rsidP="00F851E6">
      <w:pPr>
        <w:numPr>
          <w:ilvl w:val="0"/>
          <w:numId w:val="37"/>
        </w:numPr>
        <w:overflowPunct/>
        <w:autoSpaceDE/>
        <w:autoSpaceDN/>
        <w:adjustRightInd/>
        <w:spacing w:after="160"/>
        <w:jc w:val="both"/>
        <w:textAlignment w:val="auto"/>
        <w:rPr>
          <w:rFonts w:ascii="Arial" w:eastAsia="Aptos" w:hAnsi="Arial" w:cs="Arial"/>
          <w:b/>
          <w:bCs/>
          <w:i/>
          <w:iCs/>
          <w:kern w:val="2"/>
          <w:sz w:val="24"/>
          <w:szCs w:val="24"/>
          <w:lang w:val="en-AU"/>
          <w14:ligatures w14:val="standardContextual"/>
        </w:rPr>
      </w:pPr>
      <w:r w:rsidRPr="00667CD4">
        <w:rPr>
          <w:rFonts w:ascii="Arial" w:eastAsia="Aptos" w:hAnsi="Arial" w:cs="Arial"/>
          <w:kern w:val="2"/>
          <w:sz w:val="24"/>
          <w:szCs w:val="24"/>
          <w:lang w:val="en-AU"/>
          <w14:ligatures w14:val="standardContextual"/>
        </w:rPr>
        <w:t>Hear from the parties as to the evidence or material they wish to file and serve.</w:t>
      </w:r>
    </w:p>
    <w:p w14:paraId="7BFF5275" w14:textId="77777777" w:rsidR="00667CD4" w:rsidRPr="00667CD4" w:rsidRDefault="00667CD4" w:rsidP="00F851E6">
      <w:pPr>
        <w:numPr>
          <w:ilvl w:val="0"/>
          <w:numId w:val="37"/>
        </w:numPr>
        <w:overflowPunct/>
        <w:autoSpaceDE/>
        <w:autoSpaceDN/>
        <w:adjustRightInd/>
        <w:spacing w:after="160"/>
        <w:jc w:val="both"/>
        <w:textAlignment w:val="auto"/>
        <w:rPr>
          <w:rFonts w:ascii="Arial" w:eastAsia="Aptos" w:hAnsi="Arial" w:cs="Arial"/>
          <w:b/>
          <w:bCs/>
          <w:i/>
          <w:iCs/>
          <w:kern w:val="2"/>
          <w:sz w:val="24"/>
          <w:szCs w:val="24"/>
          <w:lang w:val="en-AU"/>
          <w14:ligatures w14:val="standardContextual"/>
        </w:rPr>
      </w:pPr>
      <w:r w:rsidRPr="00667CD4">
        <w:rPr>
          <w:rFonts w:ascii="Arial" w:eastAsia="Aptos" w:hAnsi="Arial" w:cs="Arial"/>
          <w:kern w:val="2"/>
          <w:sz w:val="24"/>
          <w:szCs w:val="24"/>
          <w:lang w:val="en-AU"/>
          <w14:ligatures w14:val="standardContextual"/>
        </w:rPr>
        <w:t>Determine whether ADR is appropriate for your matter and whether any party should have leave to attend the conciliation or the hearing remotely.</w:t>
      </w:r>
    </w:p>
    <w:p w14:paraId="0D0B54BC" w14:textId="77777777" w:rsidR="00667CD4" w:rsidRPr="00667CD4" w:rsidRDefault="00667CD4" w:rsidP="00F851E6">
      <w:pPr>
        <w:numPr>
          <w:ilvl w:val="0"/>
          <w:numId w:val="37"/>
        </w:numPr>
        <w:overflowPunct/>
        <w:autoSpaceDE/>
        <w:autoSpaceDN/>
        <w:adjustRightInd/>
        <w:spacing w:after="160"/>
        <w:jc w:val="both"/>
        <w:textAlignment w:val="auto"/>
        <w:rPr>
          <w:rFonts w:ascii="Arial" w:eastAsia="Aptos" w:hAnsi="Arial" w:cs="Arial"/>
          <w:b/>
          <w:bCs/>
          <w:i/>
          <w:iCs/>
          <w:kern w:val="2"/>
          <w:sz w:val="24"/>
          <w:szCs w:val="24"/>
          <w:lang w:val="en-AU"/>
          <w14:ligatures w14:val="standardContextual"/>
        </w:rPr>
      </w:pPr>
      <w:r w:rsidRPr="00667CD4">
        <w:rPr>
          <w:rFonts w:ascii="Arial" w:eastAsia="Aptos" w:hAnsi="Arial" w:cs="Arial"/>
          <w:kern w:val="2"/>
          <w:sz w:val="24"/>
          <w:szCs w:val="24"/>
          <w:lang w:val="en-AU"/>
          <w14:ligatures w14:val="standardContextual"/>
        </w:rPr>
        <w:t xml:space="preserve">Identify any other preliminary steps that are required to assist the parties to efficiently resolve the matter at the conciliation conference. </w:t>
      </w:r>
    </w:p>
    <w:p w14:paraId="06BE5816" w14:textId="77777777" w:rsidR="00667CD4" w:rsidRPr="00667CD4" w:rsidRDefault="00667CD4" w:rsidP="00F851E6">
      <w:pPr>
        <w:numPr>
          <w:ilvl w:val="0"/>
          <w:numId w:val="37"/>
        </w:numPr>
        <w:overflowPunct/>
        <w:autoSpaceDE/>
        <w:autoSpaceDN/>
        <w:adjustRightInd/>
        <w:spacing w:after="160"/>
        <w:jc w:val="both"/>
        <w:textAlignment w:val="auto"/>
        <w:rPr>
          <w:rFonts w:ascii="Arial" w:eastAsia="Aptos" w:hAnsi="Arial" w:cs="Arial"/>
          <w:b/>
          <w:bCs/>
          <w:i/>
          <w:iCs/>
          <w:kern w:val="2"/>
          <w:sz w:val="24"/>
          <w:szCs w:val="24"/>
          <w:lang w:val="en-AU"/>
          <w14:ligatures w14:val="standardContextual"/>
        </w:rPr>
      </w:pPr>
      <w:r w:rsidRPr="00667CD4">
        <w:rPr>
          <w:rFonts w:ascii="Arial" w:eastAsia="Aptos" w:hAnsi="Arial" w:cs="Arial"/>
          <w:kern w:val="2"/>
          <w:sz w:val="24"/>
          <w:szCs w:val="24"/>
          <w:lang w:val="en-AU"/>
          <w14:ligatures w14:val="standardContextual"/>
        </w:rPr>
        <w:t>Identify any legal or other threshold issues that may need to be determined.</w:t>
      </w:r>
    </w:p>
    <w:p w14:paraId="4F4608C7"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US"/>
          <w14:ligatures w14:val="standardContextual"/>
        </w:rPr>
      </w:pPr>
      <w:r w:rsidRPr="00667CD4">
        <w:rPr>
          <w:rFonts w:ascii="Arial" w:eastAsia="Aptos" w:hAnsi="Arial" w:cs="Arial"/>
          <w:kern w:val="2"/>
          <w:sz w:val="24"/>
          <w:szCs w:val="24"/>
          <w:lang w:val="en-US"/>
          <w14:ligatures w14:val="standardContextual"/>
        </w:rPr>
        <w:t>After any preliminary issues are attended to, the matter will be listed for ADR, or in rare cases, proceed directly to hearing.</w:t>
      </w:r>
    </w:p>
    <w:p w14:paraId="4CCB8A64" w14:textId="77777777" w:rsidR="00667CD4" w:rsidRPr="00667CD4" w:rsidRDefault="00667CD4" w:rsidP="00667CD4">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667CD4">
        <w:rPr>
          <w:rFonts w:ascii="Arial" w:eastAsia="Aptos" w:hAnsi="Arial" w:cs="Arial"/>
          <w:b/>
          <w:bCs/>
          <w:kern w:val="2"/>
          <w:sz w:val="24"/>
          <w:szCs w:val="24"/>
          <w:lang w:val="en-AU"/>
          <w14:ligatures w14:val="standardContextual"/>
        </w:rPr>
        <w:t>What is Alternative Dispute Resolution (Conciliation)?</w:t>
      </w:r>
    </w:p>
    <w:p w14:paraId="3788FED6"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US"/>
          <w14:ligatures w14:val="standardContextual"/>
        </w:rPr>
      </w:pPr>
      <w:r w:rsidRPr="00667CD4">
        <w:rPr>
          <w:rFonts w:ascii="Arial" w:eastAsia="Aptos" w:hAnsi="Arial" w:cs="Arial"/>
          <w:kern w:val="2"/>
          <w:sz w:val="24"/>
          <w:szCs w:val="24"/>
          <w:lang w:val="en-US"/>
          <w14:ligatures w14:val="standardContextual"/>
        </w:rPr>
        <w:t xml:space="preserve">ADR is widely used across a range of matters in the General Division under section102 of the </w:t>
      </w:r>
      <w:r w:rsidRPr="00036247">
        <w:rPr>
          <w:rFonts w:ascii="Arial" w:eastAsia="Aptos" w:hAnsi="Arial" w:cs="Arial"/>
          <w:i/>
          <w:iCs/>
          <w:kern w:val="2"/>
          <w:sz w:val="24"/>
          <w:szCs w:val="24"/>
          <w:lang w:val="en-US"/>
          <w14:ligatures w14:val="standardContextual"/>
        </w:rPr>
        <w:t>Tasmanian Civil and Administrative Tribunal Act 2020</w:t>
      </w:r>
      <w:r w:rsidRPr="00667CD4">
        <w:rPr>
          <w:rFonts w:ascii="Arial" w:eastAsia="Aptos" w:hAnsi="Arial" w:cs="Arial"/>
          <w:kern w:val="2"/>
          <w:sz w:val="24"/>
          <w:szCs w:val="24"/>
          <w:lang w:val="en-US"/>
          <w14:ligatures w14:val="standardContextual"/>
        </w:rPr>
        <w:t xml:space="preserve"> (TASCAT Act). This is often referred to as conciliation. In most cases, the parties are required to attempt ADR before the matter is referred for hearing.</w:t>
      </w:r>
    </w:p>
    <w:p w14:paraId="1DA52FC9"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US"/>
          <w14:ligatures w14:val="standardContextual"/>
        </w:rPr>
      </w:pPr>
      <w:r w:rsidRPr="00667CD4">
        <w:rPr>
          <w:rFonts w:ascii="Arial" w:eastAsia="Aptos" w:hAnsi="Arial" w:cs="Arial"/>
          <w:kern w:val="2"/>
          <w:sz w:val="24"/>
          <w:szCs w:val="24"/>
          <w:lang w:val="en-US"/>
          <w14:ligatures w14:val="standardContextual"/>
        </w:rPr>
        <w:t>ADR will be held by an officer of the Tribunal who is a trained conciliator.</w:t>
      </w:r>
    </w:p>
    <w:p w14:paraId="6526F5E7"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US"/>
          <w14:ligatures w14:val="standardContextual"/>
        </w:rPr>
      </w:pPr>
      <w:r w:rsidRPr="00667CD4">
        <w:rPr>
          <w:rFonts w:ascii="Arial" w:eastAsia="Aptos" w:hAnsi="Arial" w:cs="Arial"/>
          <w:kern w:val="2"/>
          <w:sz w:val="24"/>
          <w:szCs w:val="24"/>
          <w:lang w:val="en-US"/>
          <w14:ligatures w14:val="standardContextual"/>
        </w:rPr>
        <w:t xml:space="preserve">The conciliator assists the parties to identify the issues in dispute, discuss their concerns and explore whether there are any options to resolve the dispute by agreement. If the matter </w:t>
      </w:r>
      <w:proofErr w:type="gramStart"/>
      <w:r w:rsidRPr="00667CD4">
        <w:rPr>
          <w:rFonts w:ascii="Arial" w:eastAsia="Aptos" w:hAnsi="Arial" w:cs="Arial"/>
          <w:kern w:val="2"/>
          <w:sz w:val="24"/>
          <w:szCs w:val="24"/>
          <w:lang w:val="en-US"/>
          <w14:ligatures w14:val="standardContextual"/>
        </w:rPr>
        <w:t>resolves</w:t>
      </w:r>
      <w:proofErr w:type="gramEnd"/>
      <w:r w:rsidRPr="00667CD4">
        <w:rPr>
          <w:rFonts w:ascii="Arial" w:eastAsia="Aptos" w:hAnsi="Arial" w:cs="Arial"/>
          <w:kern w:val="2"/>
          <w:sz w:val="24"/>
          <w:szCs w:val="24"/>
          <w:lang w:val="en-US"/>
          <w14:ligatures w14:val="standardContextual"/>
        </w:rPr>
        <w:t xml:space="preserve"> at conciliation, the conciliator will assist the parties to formally dispose of the proceedings without the need for an arbitrated hearing.</w:t>
      </w:r>
    </w:p>
    <w:p w14:paraId="22B48E7D"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US"/>
          <w14:ligatures w14:val="standardContextual"/>
        </w:rPr>
      </w:pPr>
      <w:r w:rsidRPr="00667CD4">
        <w:rPr>
          <w:rFonts w:ascii="Arial" w:eastAsia="Aptos" w:hAnsi="Arial" w:cs="Arial"/>
          <w:kern w:val="2"/>
          <w:sz w:val="24"/>
          <w:szCs w:val="24"/>
          <w:lang w:val="en-US"/>
          <w14:ligatures w14:val="standardContextual"/>
        </w:rPr>
        <w:t>If ADR does not resolve the dispute (or only part of it), the matter will proceed to a hearing of the Tribunal.</w:t>
      </w:r>
    </w:p>
    <w:p w14:paraId="03CB16A6" w14:textId="77777777" w:rsidR="00667CD4" w:rsidRPr="00667CD4" w:rsidRDefault="00667CD4" w:rsidP="00667CD4">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667CD4">
        <w:rPr>
          <w:rFonts w:ascii="Arial" w:eastAsia="Aptos" w:hAnsi="Arial" w:cs="Arial"/>
          <w:b/>
          <w:bCs/>
          <w:kern w:val="2"/>
          <w:sz w:val="24"/>
          <w:szCs w:val="24"/>
          <w:lang w:val="en-AU"/>
          <w14:ligatures w14:val="standardContextual"/>
        </w:rPr>
        <w:t>Hearings</w:t>
      </w:r>
    </w:p>
    <w:p w14:paraId="21308B7D"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US"/>
          <w14:ligatures w14:val="standardContextual"/>
        </w:rPr>
      </w:pPr>
      <w:r w:rsidRPr="00667CD4">
        <w:rPr>
          <w:rFonts w:ascii="Arial" w:eastAsia="Aptos" w:hAnsi="Arial" w:cs="Arial"/>
          <w:kern w:val="2"/>
          <w:sz w:val="24"/>
          <w:szCs w:val="24"/>
          <w:lang w:val="en-US"/>
          <w14:ligatures w14:val="standardContextual"/>
        </w:rPr>
        <w:t xml:space="preserve">A hearing will be listed before the Tribunal if the matter has not been resolved by the parties through ADR. </w:t>
      </w:r>
    </w:p>
    <w:p w14:paraId="5E640231"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US"/>
          <w14:ligatures w14:val="standardContextual"/>
        </w:rPr>
      </w:pPr>
      <w:r w:rsidRPr="00667CD4">
        <w:rPr>
          <w:rFonts w:ascii="Arial" w:eastAsia="Aptos" w:hAnsi="Arial" w:cs="Arial"/>
          <w:kern w:val="2"/>
          <w:sz w:val="24"/>
          <w:szCs w:val="24"/>
          <w:lang w:val="en-US"/>
          <w14:ligatures w14:val="standardContextual"/>
        </w:rPr>
        <w:t xml:space="preserve">The hearing will be listed at a date and time to make sure the parties have enough time to prepare and submit the evidence they want to rely upon. </w:t>
      </w:r>
    </w:p>
    <w:p w14:paraId="3DB4EC17"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US"/>
          <w14:ligatures w14:val="standardContextual"/>
        </w:rPr>
      </w:pPr>
      <w:r w:rsidRPr="00667CD4">
        <w:rPr>
          <w:rFonts w:ascii="Arial" w:eastAsia="Aptos" w:hAnsi="Arial" w:cs="Arial"/>
          <w:kern w:val="2"/>
          <w:sz w:val="24"/>
          <w:szCs w:val="24"/>
          <w:lang w:val="en-US"/>
          <w14:ligatures w14:val="standardContextual"/>
        </w:rPr>
        <w:lastRenderedPageBreak/>
        <w:t>The hearing may be before a single legally trained Member or a legally trained Member and another Member or Members.</w:t>
      </w:r>
    </w:p>
    <w:p w14:paraId="60D20379" w14:textId="77777777" w:rsidR="00667CD4" w:rsidRPr="00667CD4" w:rsidRDefault="00667CD4" w:rsidP="00667CD4">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667CD4">
        <w:rPr>
          <w:rFonts w:ascii="Arial" w:eastAsia="Aptos" w:hAnsi="Arial" w:cs="Arial"/>
          <w:b/>
          <w:bCs/>
          <w:kern w:val="2"/>
          <w:sz w:val="24"/>
          <w:szCs w:val="24"/>
          <w:lang w:val="en-AU"/>
          <w14:ligatures w14:val="standardContextual"/>
        </w:rPr>
        <w:t>Outcome</w:t>
      </w:r>
    </w:p>
    <w:p w14:paraId="73DC1FFB" w14:textId="63A65E00"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 xml:space="preserve">Following a hearing, the Tribunal may determine the application by making the orders available to it under the particular provision of the </w:t>
      </w:r>
      <w:r w:rsidR="009D12A6" w:rsidRPr="00025E34">
        <w:rPr>
          <w:rFonts w:ascii="Arial" w:eastAsia="Aptos" w:hAnsi="Arial" w:cs="Arial"/>
          <w:kern w:val="2"/>
          <w:sz w:val="24"/>
          <w:szCs w:val="24"/>
          <w:lang w:val="en-AU"/>
          <w14:ligatures w14:val="standardContextual"/>
        </w:rPr>
        <w:t>Act</w:t>
      </w:r>
      <w:r w:rsidRPr="00025E34">
        <w:rPr>
          <w:rFonts w:ascii="Arial" w:eastAsia="Aptos" w:hAnsi="Arial" w:cs="Arial"/>
          <w:kern w:val="2"/>
          <w:sz w:val="24"/>
          <w:szCs w:val="24"/>
          <w:lang w:val="en-AU"/>
          <w14:ligatures w14:val="standardContextual"/>
        </w:rPr>
        <w:t xml:space="preserve"> </w:t>
      </w:r>
      <w:r w:rsidRPr="00667CD4">
        <w:rPr>
          <w:rFonts w:ascii="Arial" w:eastAsia="Aptos" w:hAnsi="Arial" w:cs="Arial"/>
          <w:kern w:val="2"/>
          <w:sz w:val="24"/>
          <w:szCs w:val="24"/>
          <w:lang w:val="en-AU"/>
          <w14:ligatures w14:val="standardContextual"/>
        </w:rPr>
        <w:t>that applies to the application.</w:t>
      </w:r>
    </w:p>
    <w:p w14:paraId="5EC3D705"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 xml:space="preserve">The Tribunal also has broad powers under sections 98 and 99 to make orders necessary or desirable to resolve residential park disputes, including injunctions, specific performance orders, compensation orders, orders affecting residential park agreements and ancillary or incidental orders. </w:t>
      </w:r>
    </w:p>
    <w:p w14:paraId="1A1CB7F4" w14:textId="77777777" w:rsid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The orders available will depend upon the type of application and the circumstances of the dispute.</w:t>
      </w:r>
    </w:p>
    <w:tbl>
      <w:tblPr>
        <w:tblStyle w:val="TableGrid"/>
        <w:tblW w:w="9072" w:type="dxa"/>
        <w:tblInd w:w="-5" w:type="dxa"/>
        <w:tblLook w:val="04A0" w:firstRow="1" w:lastRow="0" w:firstColumn="1" w:lastColumn="0" w:noHBand="0" w:noVBand="1"/>
      </w:tblPr>
      <w:tblGrid>
        <w:gridCol w:w="9072"/>
      </w:tblGrid>
      <w:tr w:rsidR="00667CD4" w:rsidRPr="00464888" w14:paraId="315CA1B8" w14:textId="77777777" w:rsidTr="00154A0F">
        <w:trPr>
          <w:trHeight w:val="163"/>
        </w:trPr>
        <w:tc>
          <w:tcPr>
            <w:tcW w:w="9072" w:type="dxa"/>
            <w:shd w:val="clear" w:color="auto" w:fill="4F758B"/>
          </w:tcPr>
          <w:p w14:paraId="17945A65" w14:textId="7AB02D89" w:rsidR="00667CD4" w:rsidRPr="00667CD4" w:rsidRDefault="00667CD4" w:rsidP="00154A0F">
            <w:pPr>
              <w:spacing w:before="120" w:after="240"/>
              <w:contextualSpacing/>
              <w:jc w:val="both"/>
              <w:rPr>
                <w:rFonts w:ascii="Arial" w:hAnsi="Arial" w:cs="Arial"/>
                <w:b/>
                <w:bCs/>
                <w:color w:val="FFFFFF"/>
                <w:sz w:val="36"/>
                <w:szCs w:val="36"/>
              </w:rPr>
            </w:pPr>
            <w:r w:rsidRPr="00667CD4">
              <w:rPr>
                <w:rFonts w:ascii="Arial" w:hAnsi="Arial" w:cs="Arial"/>
                <w:b/>
                <w:bCs/>
                <w:color w:val="FFFFFF"/>
                <w:sz w:val="36"/>
                <w:szCs w:val="36"/>
              </w:rPr>
              <w:t>COSTS</w:t>
            </w:r>
          </w:p>
        </w:tc>
      </w:tr>
    </w:tbl>
    <w:p w14:paraId="06FCDD04" w14:textId="77777777" w:rsidR="00667CD4" w:rsidRDefault="00667CD4" w:rsidP="00F851E6">
      <w:pPr>
        <w:overflowPunct/>
        <w:autoSpaceDE/>
        <w:autoSpaceDN/>
        <w:adjustRightInd/>
        <w:spacing w:line="278" w:lineRule="auto"/>
        <w:textAlignment w:val="auto"/>
        <w:rPr>
          <w:rFonts w:ascii="Arial" w:eastAsia="Aptos" w:hAnsi="Arial" w:cs="Arial"/>
          <w:kern w:val="2"/>
          <w:sz w:val="24"/>
          <w:szCs w:val="24"/>
          <w:lang w:val="en-AU"/>
          <w14:ligatures w14:val="standardContextual"/>
        </w:rPr>
      </w:pPr>
    </w:p>
    <w:p w14:paraId="6B84A083" w14:textId="292C8AE9"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US"/>
          <w14:ligatures w14:val="standardContextual"/>
        </w:rPr>
        <w:t xml:space="preserve">Once an application </w:t>
      </w:r>
      <w:r w:rsidRPr="00667CD4">
        <w:rPr>
          <w:rFonts w:ascii="Arial" w:eastAsia="Aptos" w:hAnsi="Arial" w:cs="Arial"/>
          <w:kern w:val="2"/>
          <w:sz w:val="24"/>
          <w:szCs w:val="24"/>
          <w:lang w:val="en-AU"/>
          <w14:ligatures w14:val="standardContextual"/>
        </w:rPr>
        <w:t>has been finalised</w:t>
      </w:r>
      <w:r>
        <w:rPr>
          <w:rFonts w:ascii="Arial" w:eastAsia="Aptos" w:hAnsi="Arial" w:cs="Arial"/>
          <w:kern w:val="2"/>
          <w:sz w:val="24"/>
          <w:szCs w:val="24"/>
          <w:lang w:val="en-AU"/>
          <w14:ligatures w14:val="standardContextual"/>
        </w:rPr>
        <w:t>,</w:t>
      </w:r>
      <w:r w:rsidRPr="00667CD4">
        <w:rPr>
          <w:rFonts w:ascii="Arial" w:eastAsia="Aptos" w:hAnsi="Arial" w:cs="Arial"/>
          <w:kern w:val="2"/>
          <w:sz w:val="24"/>
          <w:szCs w:val="24"/>
          <w:lang w:val="en-AU"/>
          <w14:ligatures w14:val="standardContextual"/>
        </w:rPr>
        <w:t xml:space="preserve"> an order in relation to the costs of the proceedings may be made. </w:t>
      </w:r>
    </w:p>
    <w:p w14:paraId="5A0EC024" w14:textId="4F62A7B4"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 xml:space="preserve">Section 120 of the </w:t>
      </w:r>
      <w:r w:rsidR="00025E34">
        <w:rPr>
          <w:rFonts w:ascii="Arial" w:eastAsia="Aptos" w:hAnsi="Arial" w:cs="Arial"/>
          <w:kern w:val="2"/>
          <w:sz w:val="24"/>
          <w:szCs w:val="24"/>
          <w:lang w:val="en-AU"/>
          <w14:ligatures w14:val="standardContextual"/>
        </w:rPr>
        <w:t>TASCAT Act</w:t>
      </w:r>
      <w:r w:rsidRPr="00667CD4">
        <w:rPr>
          <w:rFonts w:ascii="Arial" w:eastAsia="Aptos" w:hAnsi="Arial" w:cs="Arial"/>
          <w:kern w:val="2"/>
          <w:sz w:val="24"/>
          <w:szCs w:val="24"/>
          <w:lang w:val="en-AU"/>
          <w14:ligatures w14:val="standardContextual"/>
        </w:rPr>
        <w:t xml:space="preserve"> sets out the powers of the Tribunal in relation to costs. The default position is that parties bear their own costs of the proceedings. However, the Tribunal may order a party to pay another party’s costs. Section 120(2) sets out the matters the Tribunal will consider in deciding whether to make an order for costs. </w:t>
      </w:r>
    </w:p>
    <w:p w14:paraId="02EE1D58" w14:textId="77777777" w:rsidR="00667CD4" w:rsidRPr="00667CD4" w:rsidRDefault="00667CD4"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667CD4">
        <w:rPr>
          <w:rFonts w:ascii="Arial" w:eastAsia="Aptos" w:hAnsi="Arial" w:cs="Arial"/>
          <w:kern w:val="2"/>
          <w:sz w:val="24"/>
          <w:szCs w:val="24"/>
          <w:lang w:val="en-AU"/>
          <w14:ligatures w14:val="standardContextual"/>
        </w:rPr>
        <w:t>The Tribunal cannot provide you with legal advice about whether a costs order might be made, and you are encouraged to seek your own independent legal advice in relation to any concerns about costs.</w:t>
      </w:r>
    </w:p>
    <w:tbl>
      <w:tblPr>
        <w:tblStyle w:val="TableGrid"/>
        <w:tblW w:w="9072" w:type="dxa"/>
        <w:tblInd w:w="-5" w:type="dxa"/>
        <w:tblLook w:val="04A0" w:firstRow="1" w:lastRow="0" w:firstColumn="1" w:lastColumn="0" w:noHBand="0" w:noVBand="1"/>
      </w:tblPr>
      <w:tblGrid>
        <w:gridCol w:w="9072"/>
      </w:tblGrid>
      <w:tr w:rsidR="00667CD4" w:rsidRPr="00464888" w14:paraId="55D3435C" w14:textId="77777777" w:rsidTr="00154A0F">
        <w:trPr>
          <w:trHeight w:val="163"/>
        </w:trPr>
        <w:tc>
          <w:tcPr>
            <w:tcW w:w="9072" w:type="dxa"/>
            <w:shd w:val="clear" w:color="auto" w:fill="4F758B"/>
          </w:tcPr>
          <w:p w14:paraId="3E477153" w14:textId="35B41D5A" w:rsidR="00667CD4" w:rsidRPr="00A52C4B" w:rsidRDefault="00A52C4B" w:rsidP="00154A0F">
            <w:pPr>
              <w:spacing w:before="120" w:after="240"/>
              <w:contextualSpacing/>
              <w:jc w:val="both"/>
              <w:rPr>
                <w:rFonts w:ascii="Arial" w:hAnsi="Arial" w:cs="Arial"/>
                <w:b/>
                <w:bCs/>
                <w:color w:val="FFFFFF"/>
                <w:sz w:val="36"/>
                <w:szCs w:val="36"/>
              </w:rPr>
            </w:pPr>
            <w:r w:rsidRPr="00A52C4B">
              <w:rPr>
                <w:rFonts w:ascii="Arial" w:hAnsi="Arial" w:cs="Arial"/>
                <w:b/>
                <w:bCs/>
                <w:color w:val="FFFFFF"/>
                <w:sz w:val="36"/>
                <w:szCs w:val="36"/>
              </w:rPr>
              <w:t>FREQUENTLY ASKED QUESTIONS</w:t>
            </w:r>
          </w:p>
        </w:tc>
      </w:tr>
    </w:tbl>
    <w:p w14:paraId="163D5571" w14:textId="77777777" w:rsidR="00A52C4B" w:rsidRDefault="00A52C4B" w:rsidP="00F851E6">
      <w:pPr>
        <w:overflowPunct/>
        <w:autoSpaceDE/>
        <w:autoSpaceDN/>
        <w:adjustRightInd/>
        <w:spacing w:line="278" w:lineRule="auto"/>
        <w:textAlignment w:val="auto"/>
        <w:rPr>
          <w:rFonts w:ascii="Arial" w:eastAsia="Aptos" w:hAnsi="Arial" w:cs="Arial"/>
          <w:b/>
          <w:bCs/>
          <w:kern w:val="2"/>
          <w:sz w:val="24"/>
          <w:szCs w:val="24"/>
          <w:lang w:val="en-AU"/>
          <w14:ligatures w14:val="standardContextual"/>
        </w:rPr>
      </w:pPr>
    </w:p>
    <w:p w14:paraId="04B64602" w14:textId="483AE3AE" w:rsidR="00A52C4B" w:rsidRPr="00A52C4B" w:rsidRDefault="00A52C4B" w:rsidP="00A52C4B">
      <w:pPr>
        <w:overflowPunct/>
        <w:autoSpaceDE/>
        <w:autoSpaceDN/>
        <w:adjustRightInd/>
        <w:spacing w:after="160" w:line="278" w:lineRule="auto"/>
        <w:textAlignment w:val="auto"/>
        <w:rPr>
          <w:rFonts w:ascii="Arial" w:eastAsia="Aptos" w:hAnsi="Arial" w:cs="Arial"/>
          <w:b/>
          <w:bCs/>
          <w:kern w:val="2"/>
          <w:sz w:val="24"/>
          <w:szCs w:val="24"/>
          <w:lang w:val="en-AU"/>
          <w14:ligatures w14:val="standardContextual"/>
        </w:rPr>
      </w:pPr>
      <w:r w:rsidRPr="00A52C4B">
        <w:rPr>
          <w:rFonts w:ascii="Arial" w:eastAsia="Aptos" w:hAnsi="Arial" w:cs="Arial"/>
          <w:b/>
          <w:bCs/>
          <w:kern w:val="2"/>
          <w:sz w:val="24"/>
          <w:szCs w:val="24"/>
          <w:lang w:val="en-AU"/>
          <w14:ligatures w14:val="standardContextual"/>
        </w:rPr>
        <w:t>Do all disputes between a park owner and resident go to TASCAT?</w:t>
      </w:r>
    </w:p>
    <w:p w14:paraId="5FA85B65" w14:textId="77777777" w:rsidR="00A52C4B" w:rsidRDefault="00A52C4B" w:rsidP="000517C1">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A52C4B">
        <w:rPr>
          <w:rFonts w:ascii="Arial" w:eastAsia="Aptos" w:hAnsi="Arial" w:cs="Arial"/>
          <w:kern w:val="2"/>
          <w:sz w:val="24"/>
          <w:szCs w:val="24"/>
          <w:lang w:val="en-AU"/>
          <w14:ligatures w14:val="standardContextual"/>
        </w:rPr>
        <w:t xml:space="preserve">Not necessarily. TASCAT has jurisdiction to hear and determine residential park disputes, but the Act establishes other processes for certain matters. For example, disputes about the disbursement of a security deposit are initially dealt with through the Rental Deposit Authority and Residential Tenancy Commissioner before a party may apply to TASCAT in accordance with section 105. </w:t>
      </w:r>
    </w:p>
    <w:p w14:paraId="58C71306" w14:textId="77777777" w:rsidR="00A52C4B" w:rsidRPr="00A52C4B" w:rsidRDefault="00A52C4B" w:rsidP="00A52C4B">
      <w:pPr>
        <w:overflowPunct/>
        <w:autoSpaceDE/>
        <w:autoSpaceDN/>
        <w:adjustRightInd/>
        <w:spacing w:after="160" w:line="278" w:lineRule="auto"/>
        <w:textAlignment w:val="auto"/>
        <w:rPr>
          <w:rFonts w:ascii="Arial" w:eastAsia="Aptos" w:hAnsi="Arial" w:cs="Arial"/>
          <w:b/>
          <w:kern w:val="2"/>
          <w:sz w:val="24"/>
          <w:szCs w:val="24"/>
          <w:lang w:val="en-AU"/>
          <w14:ligatures w14:val="standardContextual"/>
        </w:rPr>
      </w:pPr>
      <w:r w:rsidRPr="00A52C4B">
        <w:rPr>
          <w:rFonts w:ascii="Arial" w:eastAsia="Aptos" w:hAnsi="Arial" w:cs="Arial"/>
          <w:b/>
          <w:kern w:val="2"/>
          <w:sz w:val="24"/>
          <w:szCs w:val="24"/>
          <w:lang w:val="en-AU"/>
          <w14:ligatures w14:val="standardContextual"/>
        </w:rPr>
        <w:t>How long will proceedings at TASCAT take?</w:t>
      </w:r>
    </w:p>
    <w:p w14:paraId="6831A525" w14:textId="6146A169" w:rsidR="00A52C4B" w:rsidRDefault="00A52C4B"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A52C4B">
        <w:rPr>
          <w:rFonts w:ascii="Arial" w:eastAsia="Aptos" w:hAnsi="Arial" w:cs="Arial"/>
          <w:kern w:val="2"/>
          <w:sz w:val="24"/>
          <w:szCs w:val="24"/>
          <w:lang w:val="en-AU"/>
          <w14:ligatures w14:val="standardContextual"/>
        </w:rPr>
        <w:t>The Tribunal will try to finalise any application as soon as possible, but it must ensure all parties are treated fairly and given the necessary time to prepare and present their case. Some ADR processes require more than one session. If the matter cannot settle, the parties will be given time to complete their evidence for a hearing. The Tribunal will issue its decision at the conclusion of the hearing, or if a written decision is warranted, this will usually be issued within 4 to 6 weeks after the hearing. These timeframes may vary depending on how simple or complex the proceedings are.</w:t>
      </w:r>
    </w:p>
    <w:p w14:paraId="223F1D86" w14:textId="77777777" w:rsidR="00F851E6" w:rsidRDefault="00F851E6"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p>
    <w:p w14:paraId="75963B30" w14:textId="77777777" w:rsidR="00F851E6" w:rsidRPr="00A52C4B" w:rsidRDefault="00F851E6"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p>
    <w:p w14:paraId="53995FB8" w14:textId="77777777" w:rsidR="00A52C4B" w:rsidRPr="00A52C4B" w:rsidRDefault="00A52C4B" w:rsidP="00A52C4B">
      <w:pPr>
        <w:overflowPunct/>
        <w:autoSpaceDE/>
        <w:autoSpaceDN/>
        <w:adjustRightInd/>
        <w:spacing w:after="160" w:line="278" w:lineRule="auto"/>
        <w:textAlignment w:val="auto"/>
        <w:rPr>
          <w:rFonts w:ascii="Arial" w:eastAsia="Aptos" w:hAnsi="Arial" w:cs="Arial"/>
          <w:b/>
          <w:kern w:val="2"/>
          <w:sz w:val="24"/>
          <w:szCs w:val="24"/>
          <w:lang w:val="en-AU"/>
          <w14:ligatures w14:val="standardContextual"/>
        </w:rPr>
      </w:pPr>
      <w:r w:rsidRPr="00A52C4B">
        <w:rPr>
          <w:rFonts w:ascii="Arial" w:eastAsia="Aptos" w:hAnsi="Arial" w:cs="Arial"/>
          <w:b/>
          <w:kern w:val="2"/>
          <w:sz w:val="24"/>
          <w:szCs w:val="24"/>
          <w:lang w:val="en-AU"/>
          <w14:ligatures w14:val="standardContextual"/>
        </w:rPr>
        <w:lastRenderedPageBreak/>
        <w:t>Do I have to turn up to all TASCAT hearings and listings?</w:t>
      </w:r>
    </w:p>
    <w:p w14:paraId="3DFA0989" w14:textId="77777777" w:rsidR="00A52C4B" w:rsidRDefault="00A52C4B"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A52C4B">
        <w:rPr>
          <w:rFonts w:ascii="Arial" w:eastAsia="Aptos" w:hAnsi="Arial" w:cs="Arial"/>
          <w:kern w:val="2"/>
          <w:sz w:val="24"/>
          <w:szCs w:val="24"/>
          <w:lang w:val="en-AU"/>
          <w14:ligatures w14:val="standardContextual"/>
        </w:rPr>
        <w:t>Yes, you are required to attend all hearings and ADR that the Tribunal lists. If you fail to appear at listings, orders may be made resolving the application in the other party’s favour. Failure to comply with Tribunal directions can be a relevant matter in determining any costs application at the end of the proceedings.</w:t>
      </w:r>
    </w:p>
    <w:tbl>
      <w:tblPr>
        <w:tblStyle w:val="TableGrid"/>
        <w:tblW w:w="9072" w:type="dxa"/>
        <w:tblInd w:w="-5" w:type="dxa"/>
        <w:tblLook w:val="04A0" w:firstRow="1" w:lastRow="0" w:firstColumn="1" w:lastColumn="0" w:noHBand="0" w:noVBand="1"/>
      </w:tblPr>
      <w:tblGrid>
        <w:gridCol w:w="9072"/>
      </w:tblGrid>
      <w:tr w:rsidR="00A52C4B" w:rsidRPr="00464888" w14:paraId="30E0B047" w14:textId="77777777" w:rsidTr="00154A0F">
        <w:trPr>
          <w:trHeight w:val="163"/>
        </w:trPr>
        <w:tc>
          <w:tcPr>
            <w:tcW w:w="9072" w:type="dxa"/>
            <w:shd w:val="clear" w:color="auto" w:fill="4F758B"/>
          </w:tcPr>
          <w:p w14:paraId="622B441B" w14:textId="21BEAC77" w:rsidR="00A52C4B" w:rsidRPr="00A52C4B" w:rsidRDefault="00A52C4B" w:rsidP="00154A0F">
            <w:pPr>
              <w:spacing w:before="120" w:after="240"/>
              <w:contextualSpacing/>
              <w:jc w:val="both"/>
              <w:rPr>
                <w:rFonts w:ascii="Arial" w:hAnsi="Arial" w:cs="Arial"/>
                <w:b/>
                <w:bCs/>
                <w:color w:val="FFFFFF"/>
                <w:sz w:val="36"/>
                <w:szCs w:val="36"/>
              </w:rPr>
            </w:pPr>
            <w:r w:rsidRPr="00A52C4B">
              <w:rPr>
                <w:rFonts w:ascii="Arial" w:hAnsi="Arial" w:cs="Arial"/>
                <w:b/>
                <w:bCs/>
                <w:color w:val="FFFFFF"/>
                <w:sz w:val="36"/>
                <w:szCs w:val="36"/>
              </w:rPr>
              <w:t>MORE INFORMATION</w:t>
            </w:r>
          </w:p>
        </w:tc>
      </w:tr>
    </w:tbl>
    <w:p w14:paraId="37F236C0" w14:textId="77777777" w:rsidR="00A52C4B" w:rsidRPr="00A52C4B" w:rsidRDefault="00A52C4B" w:rsidP="00F851E6">
      <w:pPr>
        <w:overflowPunct/>
        <w:autoSpaceDE/>
        <w:autoSpaceDN/>
        <w:adjustRightInd/>
        <w:spacing w:line="278" w:lineRule="auto"/>
        <w:textAlignment w:val="auto"/>
        <w:rPr>
          <w:rFonts w:ascii="Arial" w:eastAsia="Aptos" w:hAnsi="Arial" w:cs="Arial"/>
          <w:kern w:val="2"/>
          <w:sz w:val="24"/>
          <w:szCs w:val="24"/>
          <w:lang w:val="en-AU"/>
          <w14:ligatures w14:val="standardContextual"/>
        </w:rPr>
      </w:pPr>
    </w:p>
    <w:p w14:paraId="19DFFF0C" w14:textId="5B165E90" w:rsidR="00A52C4B" w:rsidRPr="00A52C4B" w:rsidRDefault="00A52C4B"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A52C4B">
        <w:rPr>
          <w:rFonts w:ascii="Arial" w:eastAsia="Aptos" w:hAnsi="Arial" w:cs="Arial"/>
          <w:kern w:val="2"/>
          <w:sz w:val="24"/>
          <w:szCs w:val="24"/>
          <w:lang w:val="en-AU"/>
          <w14:ligatures w14:val="standardContextual"/>
        </w:rPr>
        <w:t xml:space="preserve">For further information, application forms and practice directions are available on the TASCAT website at </w:t>
      </w:r>
      <w:hyperlink r:id="rId12" w:history="1">
        <w:r w:rsidRPr="00A52C4B">
          <w:rPr>
            <w:rStyle w:val="Hyperlink"/>
            <w:rFonts w:ascii="Arial" w:eastAsia="Aptos" w:hAnsi="Arial" w:cs="Arial"/>
            <w:kern w:val="2"/>
            <w:sz w:val="24"/>
            <w:szCs w:val="24"/>
            <w:lang w:val="en-AU"/>
            <w14:ligatures w14:val="standardContextual"/>
          </w:rPr>
          <w:t>www.tascat.tas.gov.au</w:t>
        </w:r>
      </w:hyperlink>
      <w:r w:rsidRPr="00A52C4B">
        <w:rPr>
          <w:rFonts w:ascii="Arial" w:eastAsia="Aptos" w:hAnsi="Arial" w:cs="Arial"/>
          <w:kern w:val="2"/>
          <w:sz w:val="24"/>
          <w:szCs w:val="24"/>
          <w:lang w:val="en-AU"/>
          <w14:ligatures w14:val="standardContextual"/>
        </w:rPr>
        <w:t>.</w:t>
      </w:r>
    </w:p>
    <w:p w14:paraId="41481BF1" w14:textId="0CA30F4B" w:rsidR="00A52C4B" w:rsidRDefault="00A52C4B"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A52C4B">
        <w:rPr>
          <w:rFonts w:ascii="Arial" w:eastAsia="Aptos" w:hAnsi="Arial" w:cs="Arial"/>
          <w:kern w:val="2"/>
          <w:sz w:val="24"/>
          <w:szCs w:val="24"/>
          <w:lang w:val="en-AU"/>
          <w14:ligatures w14:val="standardContextual"/>
        </w:rPr>
        <w:t xml:space="preserve">The </w:t>
      </w:r>
      <w:r w:rsidR="009D12A6" w:rsidRPr="00025E34">
        <w:rPr>
          <w:rFonts w:ascii="Arial" w:eastAsia="Aptos" w:hAnsi="Arial" w:cs="Arial"/>
          <w:kern w:val="2"/>
          <w:sz w:val="24"/>
          <w:szCs w:val="24"/>
          <w:lang w:val="en-AU"/>
          <w14:ligatures w14:val="standardContextual"/>
        </w:rPr>
        <w:t xml:space="preserve">Act </w:t>
      </w:r>
      <w:r w:rsidRPr="00A52C4B">
        <w:rPr>
          <w:rFonts w:ascii="Arial" w:eastAsia="Aptos" w:hAnsi="Arial" w:cs="Arial"/>
          <w:kern w:val="2"/>
          <w:sz w:val="24"/>
          <w:szCs w:val="24"/>
          <w:lang w:val="en-AU"/>
          <w14:ligatures w14:val="standardContextual"/>
        </w:rPr>
        <w:t xml:space="preserve">is available on the Tasmanian Legislation website at </w:t>
      </w:r>
      <w:hyperlink r:id="rId13" w:history="1">
        <w:r w:rsidRPr="00A52C4B">
          <w:rPr>
            <w:rStyle w:val="Hyperlink"/>
            <w:rFonts w:ascii="Arial" w:eastAsia="Aptos" w:hAnsi="Arial" w:cs="Arial"/>
            <w:kern w:val="2"/>
            <w:sz w:val="24"/>
            <w:szCs w:val="24"/>
            <w:lang w:val="en-AU"/>
            <w14:ligatures w14:val="standardContextual"/>
          </w:rPr>
          <w:t>www.legislation.tas.gov.au</w:t>
        </w:r>
      </w:hyperlink>
      <w:r w:rsidRPr="00A52C4B">
        <w:rPr>
          <w:rFonts w:ascii="Arial" w:eastAsia="Aptos" w:hAnsi="Arial" w:cs="Arial"/>
          <w:kern w:val="2"/>
          <w:sz w:val="24"/>
          <w:szCs w:val="24"/>
          <w:lang w:val="en-AU"/>
          <w14:ligatures w14:val="standardContextual"/>
        </w:rPr>
        <w:t xml:space="preserve">. The Act received Royal Assent on 11 September 2026 as Act No. 13 of 2026 and provides that its provisions commence on a day or days to be proclaimed. </w:t>
      </w:r>
    </w:p>
    <w:p w14:paraId="1CF30249" w14:textId="77777777" w:rsidR="00871B5B" w:rsidRDefault="00871B5B"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Pr>
          <w:rFonts w:ascii="Arial" w:eastAsia="Aptos" w:hAnsi="Arial" w:cs="Arial"/>
          <w:kern w:val="2"/>
          <w:sz w:val="24"/>
          <w:szCs w:val="24"/>
          <w:lang w:val="en-AU"/>
          <w14:ligatures w14:val="standardContextual"/>
        </w:rPr>
        <w:t xml:space="preserve">Information for self-represented litigants in the General division is available at </w:t>
      </w:r>
      <w:hyperlink r:id="rId14" w:history="1">
        <w:r w:rsidRPr="00871B5B">
          <w:rPr>
            <w:rFonts w:ascii="Arial" w:hAnsi="Arial" w:cs="Arial"/>
            <w:color w:val="0000FF"/>
            <w:sz w:val="24"/>
            <w:szCs w:val="24"/>
            <w:u w:val="single"/>
          </w:rPr>
          <w:t>Fact &amp; Information sheets | TASCAT - Tasmanian Civil &amp; Administrative Tribunal</w:t>
        </w:r>
      </w:hyperlink>
    </w:p>
    <w:p w14:paraId="0664C951" w14:textId="668E76C1" w:rsidR="00A52C4B" w:rsidRDefault="00A52C4B" w:rsidP="00F851E6">
      <w:pPr>
        <w:overflowPunct/>
        <w:autoSpaceDE/>
        <w:autoSpaceDN/>
        <w:adjustRightInd/>
        <w:spacing w:after="160"/>
        <w:jc w:val="both"/>
        <w:textAlignment w:val="auto"/>
        <w:rPr>
          <w:rFonts w:ascii="Arial" w:eastAsia="Aptos" w:hAnsi="Arial" w:cs="Arial"/>
          <w:kern w:val="2"/>
          <w:sz w:val="24"/>
          <w:szCs w:val="24"/>
          <w:lang w:val="en-AU"/>
          <w14:ligatures w14:val="standardContextual"/>
        </w:rPr>
      </w:pPr>
      <w:r w:rsidRPr="00A52C4B">
        <w:rPr>
          <w:rFonts w:ascii="Arial" w:eastAsia="Aptos" w:hAnsi="Arial" w:cs="Arial"/>
          <w:kern w:val="2"/>
          <w:sz w:val="24"/>
          <w:szCs w:val="24"/>
          <w:lang w:val="en-AU"/>
          <w14:ligatures w14:val="standardContextual"/>
        </w:rPr>
        <w:t xml:space="preserve">The TASCAT Registry can provide information about Tribunal procedures but cannot provide legal advice. If you require legal advice about your rights or obligations under the </w:t>
      </w:r>
      <w:r w:rsidR="009D12A6" w:rsidRPr="00025E34">
        <w:rPr>
          <w:rFonts w:ascii="Arial" w:eastAsia="Aptos" w:hAnsi="Arial" w:cs="Arial"/>
          <w:kern w:val="2"/>
          <w:sz w:val="24"/>
          <w:szCs w:val="24"/>
          <w:lang w:val="en-AU"/>
          <w14:ligatures w14:val="standardContextual"/>
        </w:rPr>
        <w:t>Act</w:t>
      </w:r>
      <w:r w:rsidRPr="00A52C4B">
        <w:rPr>
          <w:rFonts w:ascii="Arial" w:eastAsia="Aptos" w:hAnsi="Arial" w:cs="Arial"/>
          <w:kern w:val="2"/>
          <w:sz w:val="24"/>
          <w:szCs w:val="24"/>
          <w:lang w:val="en-AU"/>
          <w14:ligatures w14:val="standardContextual"/>
        </w:rPr>
        <w:t>, you should seek advice from a suitably qualified legal practitioner.</w:t>
      </w:r>
    </w:p>
    <w:p w14:paraId="573CBFA1" w14:textId="51BA4CDD" w:rsidR="00315795" w:rsidRPr="0013608C" w:rsidRDefault="00315795" w:rsidP="000517C1">
      <w:pPr>
        <w:spacing w:before="240"/>
        <w:jc w:val="both"/>
        <w:rPr>
          <w:rFonts w:ascii="Arial" w:hAnsi="Arial" w:cs="Arial"/>
          <w:sz w:val="24"/>
          <w:szCs w:val="24"/>
        </w:rPr>
      </w:pPr>
    </w:p>
    <w:sectPr w:rsidR="00315795" w:rsidRPr="0013608C" w:rsidSect="00E560A3">
      <w:headerReference w:type="default" r:id="rId15"/>
      <w:headerReference w:type="first" r:id="rId16"/>
      <w:footerReference w:type="first" r:id="rId17"/>
      <w:pgSz w:w="11906" w:h="16838"/>
      <w:pgMar w:top="1440" w:right="1440" w:bottom="1440" w:left="1276"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AF562" w14:textId="77777777" w:rsidR="00D827D3" w:rsidRDefault="00D827D3" w:rsidP="008F1EE8">
      <w:r>
        <w:separator/>
      </w:r>
    </w:p>
  </w:endnote>
  <w:endnote w:type="continuationSeparator" w:id="0">
    <w:p w14:paraId="6A9FD626" w14:textId="77777777" w:rsidR="00D827D3" w:rsidRDefault="00D827D3" w:rsidP="008F1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66FD3" w14:textId="77777777" w:rsidR="00CA0151" w:rsidRPr="00CA0151" w:rsidRDefault="00CA0151" w:rsidP="00CA0151">
    <w:pPr>
      <w:tabs>
        <w:tab w:val="center" w:pos="4513"/>
        <w:tab w:val="right" w:pos="9026"/>
      </w:tabs>
      <w:overflowPunct/>
      <w:autoSpaceDE/>
      <w:autoSpaceDN/>
      <w:adjustRightInd/>
      <w:jc w:val="center"/>
      <w:textAlignment w:val="auto"/>
      <w:rPr>
        <w:rFonts w:ascii="Aptos" w:eastAsia="Aptos" w:hAnsi="Aptos"/>
        <w:kern w:val="2"/>
        <w:sz w:val="20"/>
        <w:lang w:val="en-AU"/>
        <w14:ligatures w14:val="standardContextual"/>
      </w:rPr>
    </w:pPr>
    <w:r w:rsidRPr="00CA0151">
      <w:rPr>
        <w:rFonts w:ascii="Aptos" w:eastAsia="Aptos" w:hAnsi="Aptos"/>
        <w:kern w:val="2"/>
        <w:sz w:val="20"/>
        <w:lang w:val="en-AU"/>
        <w14:ligatures w14:val="standardContextual"/>
      </w:rPr>
      <w:t xml:space="preserve">TASCAT Civil and Consumer Stream I Phone: 1800 657 500 I Web: </w:t>
    </w:r>
    <w:hyperlink r:id="rId1" w:history="1">
      <w:r w:rsidRPr="00CA0151">
        <w:rPr>
          <w:rFonts w:ascii="Aptos" w:eastAsia="Aptos" w:hAnsi="Aptos"/>
          <w:color w:val="467886"/>
          <w:kern w:val="2"/>
          <w:sz w:val="20"/>
          <w:u w:val="single"/>
          <w:lang w:val="en-AU"/>
          <w14:ligatures w14:val="standardContextual"/>
        </w:rPr>
        <w:t>www.tascat.tas.gov.au</w:t>
      </w:r>
    </w:hyperlink>
  </w:p>
  <w:p w14:paraId="7A57B175" w14:textId="28E8BC9D" w:rsidR="008E777B" w:rsidRPr="00CA0151" w:rsidRDefault="00CA0151" w:rsidP="00CA0151">
    <w:pPr>
      <w:tabs>
        <w:tab w:val="center" w:pos="4513"/>
        <w:tab w:val="right" w:pos="9026"/>
      </w:tabs>
      <w:overflowPunct/>
      <w:autoSpaceDE/>
      <w:autoSpaceDN/>
      <w:adjustRightInd/>
      <w:jc w:val="center"/>
      <w:textAlignment w:val="auto"/>
      <w:rPr>
        <w:rFonts w:ascii="Aptos" w:eastAsia="Aptos" w:hAnsi="Aptos"/>
        <w:kern w:val="2"/>
        <w:sz w:val="20"/>
        <w:lang w:val="en-AU"/>
        <w14:ligatures w14:val="standardContextual"/>
      </w:rPr>
    </w:pPr>
    <w:r w:rsidRPr="00CA0151">
      <w:rPr>
        <w:rFonts w:ascii="Aptos" w:eastAsia="Aptos" w:hAnsi="Aptos"/>
        <w:kern w:val="2"/>
        <w:sz w:val="20"/>
        <w:lang w:val="en-AU"/>
        <w14:ligatures w14:val="standardContextual"/>
      </w:rPr>
      <w:t xml:space="preserve">Email: </w:t>
    </w:r>
    <w:hyperlink r:id="rId2" w:history="1">
      <w:r w:rsidRPr="00CA0151">
        <w:rPr>
          <w:rFonts w:ascii="Aptos" w:eastAsia="Aptos" w:hAnsi="Aptos"/>
          <w:color w:val="467886"/>
          <w:kern w:val="2"/>
          <w:sz w:val="20"/>
          <w:u w:val="single"/>
          <w:lang w:val="en-AU"/>
          <w14:ligatures w14:val="standardContextual"/>
        </w:rPr>
        <w:t>ccs@tascat.tas.gov.au</w:t>
      </w:r>
    </w:hyperlink>
    <w:r w:rsidRPr="00CA0151">
      <w:rPr>
        <w:rFonts w:ascii="Aptos" w:eastAsia="Aptos" w:hAnsi="Aptos"/>
        <w:kern w:val="2"/>
        <w:sz w:val="20"/>
        <w:lang w:val="en-AU"/>
        <w14:ligatures w14:val="standardContextual"/>
      </w:rPr>
      <w:t xml:space="preserve"> I GPO Box 1311, Hobart TAS 7001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79DE9" w14:textId="77777777" w:rsidR="00D827D3" w:rsidRDefault="00D827D3" w:rsidP="008F1EE8">
      <w:r>
        <w:separator/>
      </w:r>
    </w:p>
  </w:footnote>
  <w:footnote w:type="continuationSeparator" w:id="0">
    <w:p w14:paraId="310AA3CA" w14:textId="77777777" w:rsidR="00D827D3" w:rsidRDefault="00D827D3" w:rsidP="008F1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sz w:val="24"/>
      </w:rPr>
      <w:id w:val="1616794814"/>
      <w:docPartObj>
        <w:docPartGallery w:val="Page Numbers (Top of Page)"/>
        <w:docPartUnique/>
      </w:docPartObj>
    </w:sdtPr>
    <w:sdtEndPr>
      <w:rPr>
        <w:rFonts w:ascii="Arial" w:hAnsi="Arial" w:cs="Arial"/>
        <w:noProof/>
      </w:rPr>
    </w:sdtEndPr>
    <w:sdtContent>
      <w:p w14:paraId="5C6D2F61" w14:textId="77777777" w:rsidR="00E656BB" w:rsidRPr="00E560A3" w:rsidRDefault="00E656BB">
        <w:pPr>
          <w:pStyle w:val="Header"/>
          <w:jc w:val="center"/>
          <w:rPr>
            <w:rFonts w:ascii="Arial" w:hAnsi="Arial" w:cs="Arial"/>
            <w:sz w:val="24"/>
          </w:rPr>
        </w:pPr>
        <w:r w:rsidRPr="00E560A3">
          <w:rPr>
            <w:rFonts w:ascii="Arial" w:hAnsi="Arial" w:cs="Arial"/>
            <w:sz w:val="24"/>
          </w:rPr>
          <w:fldChar w:fldCharType="begin"/>
        </w:r>
        <w:r w:rsidRPr="00E560A3">
          <w:rPr>
            <w:rFonts w:ascii="Arial" w:hAnsi="Arial" w:cs="Arial"/>
            <w:sz w:val="24"/>
          </w:rPr>
          <w:instrText xml:space="preserve"> PAGE   \* MERGEFORMAT </w:instrText>
        </w:r>
        <w:r w:rsidRPr="00E560A3">
          <w:rPr>
            <w:rFonts w:ascii="Arial" w:hAnsi="Arial" w:cs="Arial"/>
            <w:sz w:val="24"/>
          </w:rPr>
          <w:fldChar w:fldCharType="separate"/>
        </w:r>
        <w:r w:rsidR="00D74F23" w:rsidRPr="00E560A3">
          <w:rPr>
            <w:rFonts w:ascii="Arial" w:hAnsi="Arial" w:cs="Arial"/>
            <w:noProof/>
            <w:sz w:val="24"/>
          </w:rPr>
          <w:t>12</w:t>
        </w:r>
        <w:r w:rsidRPr="00E560A3">
          <w:rPr>
            <w:rFonts w:ascii="Arial" w:hAnsi="Arial" w:cs="Arial"/>
            <w:noProof/>
            <w:sz w:val="24"/>
          </w:rPr>
          <w:fldChar w:fldCharType="end"/>
        </w:r>
      </w:p>
    </w:sdtContent>
  </w:sdt>
  <w:p w14:paraId="63BF88BC" w14:textId="77777777" w:rsidR="008F1EE8" w:rsidRDefault="008F1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8B6A8" w14:textId="0472B317" w:rsidR="008F1EE8" w:rsidRPr="00E560A3" w:rsidRDefault="00E560A3" w:rsidP="00E560A3">
    <w:pPr>
      <w:pStyle w:val="Header"/>
      <w:ind w:left="-993"/>
    </w:pPr>
    <w:r>
      <w:rPr>
        <w:noProof/>
      </w:rPr>
      <w:drawing>
        <wp:inline distT="0" distB="0" distL="0" distR="0" wp14:anchorId="3F4D1E12" wp14:editId="342606DD">
          <wp:extent cx="7204994" cy="126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07674" name="Picture 249807674"/>
                  <pic:cNvPicPr/>
                </pic:nvPicPr>
                <pic:blipFill>
                  <a:blip r:embed="rId1">
                    <a:extLst>
                      <a:ext uri="{28A0092B-C50C-407E-A947-70E740481C1C}">
                        <a14:useLocalDpi xmlns:a14="http://schemas.microsoft.com/office/drawing/2010/main" val="0"/>
                      </a:ext>
                    </a:extLst>
                  </a:blip>
                  <a:stretch>
                    <a:fillRect/>
                  </a:stretch>
                </pic:blipFill>
                <pic:spPr>
                  <a:xfrm>
                    <a:off x="0" y="0"/>
                    <a:ext cx="7204994" cy="126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BF3"/>
    <w:multiLevelType w:val="hybridMultilevel"/>
    <w:tmpl w:val="DEE212AA"/>
    <w:lvl w:ilvl="0" w:tplc="EB6C2FFA">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 w15:restartNumberingAfterBreak="0">
    <w:nsid w:val="0A300449"/>
    <w:multiLevelType w:val="hybridMultilevel"/>
    <w:tmpl w:val="6ACC88CC"/>
    <w:lvl w:ilvl="0" w:tplc="A7B413E4">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105665EC"/>
    <w:multiLevelType w:val="multilevel"/>
    <w:tmpl w:val="A2C6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4285B"/>
    <w:multiLevelType w:val="hybridMultilevel"/>
    <w:tmpl w:val="4DC27952"/>
    <w:lvl w:ilvl="0" w:tplc="C7E89A76">
      <w:start w:val="1"/>
      <w:numFmt w:val="lowerLetter"/>
      <w:lvlText w:val="(%1)"/>
      <w:lvlJc w:val="left"/>
      <w:pPr>
        <w:ind w:left="1069" w:hanging="360"/>
      </w:p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4" w15:restartNumberingAfterBreak="0">
    <w:nsid w:val="16765B97"/>
    <w:multiLevelType w:val="hybridMultilevel"/>
    <w:tmpl w:val="4C502118"/>
    <w:lvl w:ilvl="0" w:tplc="747EA71C">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5" w15:restartNumberingAfterBreak="0">
    <w:nsid w:val="175546EF"/>
    <w:multiLevelType w:val="hybridMultilevel"/>
    <w:tmpl w:val="69A69184"/>
    <w:lvl w:ilvl="0" w:tplc="BD46DF12">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6" w15:restartNumberingAfterBreak="0">
    <w:nsid w:val="1ACF2186"/>
    <w:multiLevelType w:val="hybridMultilevel"/>
    <w:tmpl w:val="BF40A854"/>
    <w:lvl w:ilvl="0" w:tplc="E4009ADE">
      <w:start w:val="5"/>
      <w:numFmt w:val="decimal"/>
      <w:lvlText w:val="%1"/>
      <w:lvlJc w:val="left"/>
      <w:pPr>
        <w:ind w:left="3054" w:hanging="360"/>
      </w:pPr>
      <w:rPr>
        <w:rFonts w:hint="default"/>
      </w:rPr>
    </w:lvl>
    <w:lvl w:ilvl="1" w:tplc="0C090019" w:tentative="1">
      <w:start w:val="1"/>
      <w:numFmt w:val="lowerLetter"/>
      <w:lvlText w:val="%2."/>
      <w:lvlJc w:val="left"/>
      <w:pPr>
        <w:ind w:left="3774" w:hanging="360"/>
      </w:pPr>
    </w:lvl>
    <w:lvl w:ilvl="2" w:tplc="0C09001B" w:tentative="1">
      <w:start w:val="1"/>
      <w:numFmt w:val="lowerRoman"/>
      <w:lvlText w:val="%3."/>
      <w:lvlJc w:val="right"/>
      <w:pPr>
        <w:ind w:left="4494" w:hanging="180"/>
      </w:pPr>
    </w:lvl>
    <w:lvl w:ilvl="3" w:tplc="0C09000F" w:tentative="1">
      <w:start w:val="1"/>
      <w:numFmt w:val="decimal"/>
      <w:lvlText w:val="%4."/>
      <w:lvlJc w:val="left"/>
      <w:pPr>
        <w:ind w:left="5214" w:hanging="360"/>
      </w:pPr>
    </w:lvl>
    <w:lvl w:ilvl="4" w:tplc="0C090019" w:tentative="1">
      <w:start w:val="1"/>
      <w:numFmt w:val="lowerLetter"/>
      <w:lvlText w:val="%5."/>
      <w:lvlJc w:val="left"/>
      <w:pPr>
        <w:ind w:left="5934" w:hanging="360"/>
      </w:pPr>
    </w:lvl>
    <w:lvl w:ilvl="5" w:tplc="0C09001B" w:tentative="1">
      <w:start w:val="1"/>
      <w:numFmt w:val="lowerRoman"/>
      <w:lvlText w:val="%6."/>
      <w:lvlJc w:val="right"/>
      <w:pPr>
        <w:ind w:left="6654" w:hanging="180"/>
      </w:pPr>
    </w:lvl>
    <w:lvl w:ilvl="6" w:tplc="0C09000F" w:tentative="1">
      <w:start w:val="1"/>
      <w:numFmt w:val="decimal"/>
      <w:lvlText w:val="%7."/>
      <w:lvlJc w:val="left"/>
      <w:pPr>
        <w:ind w:left="7374" w:hanging="360"/>
      </w:pPr>
    </w:lvl>
    <w:lvl w:ilvl="7" w:tplc="0C090019" w:tentative="1">
      <w:start w:val="1"/>
      <w:numFmt w:val="lowerLetter"/>
      <w:lvlText w:val="%8."/>
      <w:lvlJc w:val="left"/>
      <w:pPr>
        <w:ind w:left="8094" w:hanging="360"/>
      </w:pPr>
    </w:lvl>
    <w:lvl w:ilvl="8" w:tplc="0C09001B" w:tentative="1">
      <w:start w:val="1"/>
      <w:numFmt w:val="lowerRoman"/>
      <w:lvlText w:val="%9."/>
      <w:lvlJc w:val="right"/>
      <w:pPr>
        <w:ind w:left="8814" w:hanging="180"/>
      </w:pPr>
    </w:lvl>
  </w:abstractNum>
  <w:abstractNum w:abstractNumId="7" w15:restartNumberingAfterBreak="0">
    <w:nsid w:val="1E25214F"/>
    <w:multiLevelType w:val="hybridMultilevel"/>
    <w:tmpl w:val="7ABAAD1E"/>
    <w:lvl w:ilvl="0" w:tplc="05AACDFA">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8" w15:restartNumberingAfterBreak="0">
    <w:nsid w:val="1E611D82"/>
    <w:multiLevelType w:val="hybridMultilevel"/>
    <w:tmpl w:val="547CA7D6"/>
    <w:lvl w:ilvl="0" w:tplc="F7C25446">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9" w15:restartNumberingAfterBreak="0">
    <w:nsid w:val="2033788B"/>
    <w:multiLevelType w:val="hybridMultilevel"/>
    <w:tmpl w:val="056EA10A"/>
    <w:lvl w:ilvl="0" w:tplc="C3C28BA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0" w15:restartNumberingAfterBreak="0">
    <w:nsid w:val="235A7632"/>
    <w:multiLevelType w:val="multilevel"/>
    <w:tmpl w:val="4628E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2E5904"/>
    <w:multiLevelType w:val="multilevel"/>
    <w:tmpl w:val="5E52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3732D"/>
    <w:multiLevelType w:val="hybridMultilevel"/>
    <w:tmpl w:val="6D360EDA"/>
    <w:lvl w:ilvl="0" w:tplc="E2F68EF2">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3" w15:restartNumberingAfterBreak="0">
    <w:nsid w:val="2C796ACD"/>
    <w:multiLevelType w:val="hybridMultilevel"/>
    <w:tmpl w:val="1DE430E6"/>
    <w:lvl w:ilvl="0" w:tplc="A9941F68">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4" w15:restartNumberingAfterBreak="0">
    <w:nsid w:val="30932E8E"/>
    <w:multiLevelType w:val="hybridMultilevel"/>
    <w:tmpl w:val="1494DC8C"/>
    <w:lvl w:ilvl="0" w:tplc="BD40F1F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5" w15:restartNumberingAfterBreak="0">
    <w:nsid w:val="30C81B3C"/>
    <w:multiLevelType w:val="multilevel"/>
    <w:tmpl w:val="0FE4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0D0B8E"/>
    <w:multiLevelType w:val="hybridMultilevel"/>
    <w:tmpl w:val="3C2820C2"/>
    <w:lvl w:ilvl="0" w:tplc="EF180E34">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7" w15:restartNumberingAfterBreak="0">
    <w:nsid w:val="3AA049E4"/>
    <w:multiLevelType w:val="hybridMultilevel"/>
    <w:tmpl w:val="CC02FD2A"/>
    <w:lvl w:ilvl="0" w:tplc="27880568">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8" w15:restartNumberingAfterBreak="0">
    <w:nsid w:val="426E2991"/>
    <w:multiLevelType w:val="multilevel"/>
    <w:tmpl w:val="9B32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E92D17"/>
    <w:multiLevelType w:val="hybridMultilevel"/>
    <w:tmpl w:val="D11238E8"/>
    <w:lvl w:ilvl="0" w:tplc="20F25A8A">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0" w15:restartNumberingAfterBreak="0">
    <w:nsid w:val="49132CAD"/>
    <w:multiLevelType w:val="hybridMultilevel"/>
    <w:tmpl w:val="8952915A"/>
    <w:lvl w:ilvl="0" w:tplc="88349E18">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9866BAF"/>
    <w:multiLevelType w:val="hybridMultilevel"/>
    <w:tmpl w:val="4C502118"/>
    <w:lvl w:ilvl="0" w:tplc="747EA71C">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2" w15:restartNumberingAfterBreak="0">
    <w:nsid w:val="4BD97BA7"/>
    <w:multiLevelType w:val="hybridMultilevel"/>
    <w:tmpl w:val="801AD1BE"/>
    <w:lvl w:ilvl="0" w:tplc="DBBA18B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3" w15:restartNumberingAfterBreak="0">
    <w:nsid w:val="4CEB128C"/>
    <w:multiLevelType w:val="multilevel"/>
    <w:tmpl w:val="A8485B0A"/>
    <w:lvl w:ilvl="0">
      <w:start w:val="1"/>
      <w:numFmt w:val="decimal"/>
      <w:pStyle w:val="Heading1"/>
      <w:lvlText w:val="%1."/>
      <w:lvlJc w:val="left"/>
      <w:pPr>
        <w:ind w:left="861" w:hanging="720"/>
      </w:pPr>
      <w:rPr>
        <w:rFonts w:hint="default"/>
      </w:rPr>
    </w:lvl>
    <w:lvl w:ilvl="1">
      <w:start w:val="1"/>
      <w:numFmt w:val="decimal"/>
      <w:isLgl/>
      <w:lvlText w:val="%1.%2"/>
      <w:lvlJc w:val="left"/>
      <w:pPr>
        <w:ind w:left="1070" w:hanging="360"/>
      </w:pPr>
      <w:rPr>
        <w:rFonts w:hint="default"/>
        <w:sz w:val="24"/>
        <w:szCs w:val="24"/>
      </w:rPr>
    </w:lvl>
    <w:lvl w:ilvl="2">
      <w:start w:val="1"/>
      <w:numFmt w:val="decimal"/>
      <w:isLgl/>
      <w:lvlText w:val="%1.%2.%3"/>
      <w:lvlJc w:val="left"/>
      <w:pPr>
        <w:ind w:left="2847"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207" w:hanging="1080"/>
      </w:pPr>
      <w:rPr>
        <w:rFonts w:hint="default"/>
      </w:rPr>
    </w:lvl>
    <w:lvl w:ilvl="5">
      <w:start w:val="1"/>
      <w:numFmt w:val="decimal"/>
      <w:isLgl/>
      <w:lvlText w:val="%1.%2.%3.%4.%5.%6"/>
      <w:lvlJc w:val="left"/>
      <w:pPr>
        <w:ind w:left="3207" w:hanging="1080"/>
      </w:pPr>
      <w:rPr>
        <w:rFonts w:hint="default"/>
      </w:rPr>
    </w:lvl>
    <w:lvl w:ilvl="6">
      <w:start w:val="1"/>
      <w:numFmt w:val="decimal"/>
      <w:isLgl/>
      <w:lvlText w:val="%1.%2.%3.%4.%5.%6.%7"/>
      <w:lvlJc w:val="left"/>
      <w:pPr>
        <w:ind w:left="3567" w:hanging="144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927" w:hanging="1800"/>
      </w:pPr>
      <w:rPr>
        <w:rFonts w:hint="default"/>
      </w:rPr>
    </w:lvl>
  </w:abstractNum>
  <w:abstractNum w:abstractNumId="24" w15:restartNumberingAfterBreak="0">
    <w:nsid w:val="555C6584"/>
    <w:multiLevelType w:val="hybridMultilevel"/>
    <w:tmpl w:val="CB587FEE"/>
    <w:lvl w:ilvl="0" w:tplc="5E9CE398">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5" w15:restartNumberingAfterBreak="0">
    <w:nsid w:val="55F3036A"/>
    <w:multiLevelType w:val="hybridMultilevel"/>
    <w:tmpl w:val="6B701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86531F"/>
    <w:multiLevelType w:val="hybridMultilevel"/>
    <w:tmpl w:val="9346585C"/>
    <w:lvl w:ilvl="0" w:tplc="37540CB4">
      <w:start w:val="1"/>
      <w:numFmt w:val="lowerRoman"/>
      <w:lvlText w:val="(%1)"/>
      <w:lvlJc w:val="left"/>
      <w:pPr>
        <w:ind w:left="2138" w:hanging="360"/>
      </w:pPr>
      <w:rPr>
        <w:rFonts w:ascii="Gill Sans MT" w:eastAsia="Times New Roman" w:hAnsi="Gill Sans MT" w:cs="Times New Roman" w:hint="default"/>
        <w:sz w:val="24"/>
        <w:szCs w:val="24"/>
      </w:rPr>
    </w:lvl>
    <w:lvl w:ilvl="1" w:tplc="0C090019">
      <w:start w:val="1"/>
      <w:numFmt w:val="lowerLetter"/>
      <w:lvlText w:val="%2."/>
      <w:lvlJc w:val="left"/>
      <w:pPr>
        <w:ind w:left="2858" w:hanging="360"/>
      </w:pPr>
    </w:lvl>
    <w:lvl w:ilvl="2" w:tplc="0C09001B">
      <w:start w:val="1"/>
      <w:numFmt w:val="lowerRoman"/>
      <w:lvlText w:val="%3."/>
      <w:lvlJc w:val="right"/>
      <w:pPr>
        <w:ind w:left="3578" w:hanging="180"/>
      </w:pPr>
    </w:lvl>
    <w:lvl w:ilvl="3" w:tplc="0C09000F">
      <w:start w:val="1"/>
      <w:numFmt w:val="decimal"/>
      <w:lvlText w:val="%4."/>
      <w:lvlJc w:val="left"/>
      <w:pPr>
        <w:ind w:left="4298" w:hanging="360"/>
      </w:pPr>
    </w:lvl>
    <w:lvl w:ilvl="4" w:tplc="0C090019">
      <w:start w:val="1"/>
      <w:numFmt w:val="lowerLetter"/>
      <w:lvlText w:val="%5."/>
      <w:lvlJc w:val="left"/>
      <w:pPr>
        <w:ind w:left="5018" w:hanging="360"/>
      </w:pPr>
    </w:lvl>
    <w:lvl w:ilvl="5" w:tplc="0C09001B">
      <w:start w:val="1"/>
      <w:numFmt w:val="lowerRoman"/>
      <w:lvlText w:val="%6."/>
      <w:lvlJc w:val="right"/>
      <w:pPr>
        <w:ind w:left="5738" w:hanging="180"/>
      </w:pPr>
    </w:lvl>
    <w:lvl w:ilvl="6" w:tplc="0C09000F">
      <w:start w:val="1"/>
      <w:numFmt w:val="decimal"/>
      <w:lvlText w:val="%7."/>
      <w:lvlJc w:val="left"/>
      <w:pPr>
        <w:ind w:left="6458" w:hanging="360"/>
      </w:pPr>
    </w:lvl>
    <w:lvl w:ilvl="7" w:tplc="0C090019">
      <w:start w:val="1"/>
      <w:numFmt w:val="lowerLetter"/>
      <w:lvlText w:val="%8."/>
      <w:lvlJc w:val="left"/>
      <w:pPr>
        <w:ind w:left="7178" w:hanging="360"/>
      </w:pPr>
    </w:lvl>
    <w:lvl w:ilvl="8" w:tplc="0C09001B">
      <w:start w:val="1"/>
      <w:numFmt w:val="lowerRoman"/>
      <w:lvlText w:val="%9."/>
      <w:lvlJc w:val="right"/>
      <w:pPr>
        <w:ind w:left="7898" w:hanging="180"/>
      </w:pPr>
    </w:lvl>
  </w:abstractNum>
  <w:abstractNum w:abstractNumId="27" w15:restartNumberingAfterBreak="0">
    <w:nsid w:val="602360CE"/>
    <w:multiLevelType w:val="hybridMultilevel"/>
    <w:tmpl w:val="58E014BA"/>
    <w:lvl w:ilvl="0" w:tplc="01649916">
      <w:start w:val="1"/>
      <w:numFmt w:val="lowerLetter"/>
      <w:lvlText w:val="(%1)"/>
      <w:lvlJc w:val="left"/>
      <w:pPr>
        <w:ind w:left="1069" w:hanging="360"/>
      </w:pPr>
      <w:rPr>
        <w:rFonts w:hint="default"/>
      </w:r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8" w15:restartNumberingAfterBreak="0">
    <w:nsid w:val="62227AD4"/>
    <w:multiLevelType w:val="hybridMultilevel"/>
    <w:tmpl w:val="21C8363E"/>
    <w:lvl w:ilvl="0" w:tplc="101C763A">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9" w15:restartNumberingAfterBreak="0">
    <w:nsid w:val="64F441F3"/>
    <w:multiLevelType w:val="multilevel"/>
    <w:tmpl w:val="8482E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8366B1"/>
    <w:multiLevelType w:val="hybridMultilevel"/>
    <w:tmpl w:val="6A92BB36"/>
    <w:lvl w:ilvl="0" w:tplc="D346D896">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1" w15:restartNumberingAfterBreak="0">
    <w:nsid w:val="709721A2"/>
    <w:multiLevelType w:val="hybridMultilevel"/>
    <w:tmpl w:val="651EA494"/>
    <w:lvl w:ilvl="0" w:tplc="8D3CD7AC">
      <w:start w:val="1"/>
      <w:numFmt w:val="lowerLetter"/>
      <w:lvlText w:val="(%1)"/>
      <w:lvlJc w:val="left"/>
      <w:pPr>
        <w:ind w:left="1069" w:hanging="360"/>
      </w:p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32" w15:restartNumberingAfterBreak="0">
    <w:nsid w:val="70CC22F2"/>
    <w:multiLevelType w:val="hybridMultilevel"/>
    <w:tmpl w:val="D11238E8"/>
    <w:lvl w:ilvl="0" w:tplc="20F25A8A">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3" w15:restartNumberingAfterBreak="0">
    <w:nsid w:val="794B72AB"/>
    <w:multiLevelType w:val="hybridMultilevel"/>
    <w:tmpl w:val="8506B8BE"/>
    <w:lvl w:ilvl="0" w:tplc="AB44EA06">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4" w15:restartNumberingAfterBreak="0">
    <w:nsid w:val="7BBE04E6"/>
    <w:multiLevelType w:val="hybridMultilevel"/>
    <w:tmpl w:val="CCC4FDD6"/>
    <w:lvl w:ilvl="0" w:tplc="00A0453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num w:numId="1" w16cid:durableId="1123692150">
    <w:abstractNumId w:val="23"/>
  </w:num>
  <w:num w:numId="2" w16cid:durableId="1173764456">
    <w:abstractNumId w:val="12"/>
  </w:num>
  <w:num w:numId="3" w16cid:durableId="153643289">
    <w:abstractNumId w:val="33"/>
  </w:num>
  <w:num w:numId="4" w16cid:durableId="1561860338">
    <w:abstractNumId w:val="22"/>
  </w:num>
  <w:num w:numId="5" w16cid:durableId="879517389">
    <w:abstractNumId w:val="16"/>
  </w:num>
  <w:num w:numId="6" w16cid:durableId="1885094664">
    <w:abstractNumId w:val="9"/>
  </w:num>
  <w:num w:numId="7" w16cid:durableId="1322347606">
    <w:abstractNumId w:val="30"/>
  </w:num>
  <w:num w:numId="8" w16cid:durableId="137455633">
    <w:abstractNumId w:val="27"/>
  </w:num>
  <w:num w:numId="9" w16cid:durableId="1187795218">
    <w:abstractNumId w:val="17"/>
  </w:num>
  <w:num w:numId="10" w16cid:durableId="2122068973">
    <w:abstractNumId w:val="5"/>
  </w:num>
  <w:num w:numId="11" w16cid:durableId="1798987774">
    <w:abstractNumId w:val="34"/>
  </w:num>
  <w:num w:numId="12" w16cid:durableId="89745535">
    <w:abstractNumId w:val="21"/>
  </w:num>
  <w:num w:numId="13" w16cid:durableId="775372869">
    <w:abstractNumId w:val="24"/>
  </w:num>
  <w:num w:numId="14" w16cid:durableId="1918975362">
    <w:abstractNumId w:val="0"/>
  </w:num>
  <w:num w:numId="15" w16cid:durableId="312174399">
    <w:abstractNumId w:val="23"/>
    <w:lvlOverride w:ilvl="0">
      <w:startOverride w:val="3"/>
    </w:lvlOverride>
    <w:lvlOverride w:ilvl="1">
      <w:startOverride w:val="10"/>
    </w:lvlOverride>
  </w:num>
  <w:num w:numId="16" w16cid:durableId="767576153">
    <w:abstractNumId w:val="28"/>
  </w:num>
  <w:num w:numId="17" w16cid:durableId="1262880752">
    <w:abstractNumId w:val="7"/>
  </w:num>
  <w:num w:numId="18" w16cid:durableId="370301417">
    <w:abstractNumId w:val="8"/>
  </w:num>
  <w:num w:numId="19" w16cid:durableId="880094890">
    <w:abstractNumId w:val="19"/>
  </w:num>
  <w:num w:numId="20" w16cid:durableId="1365671896">
    <w:abstractNumId w:val="14"/>
  </w:num>
  <w:num w:numId="21" w16cid:durableId="1005666032">
    <w:abstractNumId w:val="23"/>
    <w:lvlOverride w:ilvl="0">
      <w:startOverride w:val="4"/>
    </w:lvlOverride>
    <w:lvlOverride w:ilvl="1">
      <w:startOverride w:val="6"/>
    </w:lvlOverride>
  </w:num>
  <w:num w:numId="22" w16cid:durableId="17028254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92279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46093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98945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3390574">
    <w:abstractNumId w:val="6"/>
  </w:num>
  <w:num w:numId="27" w16cid:durableId="1987974436">
    <w:abstractNumId w:val="20"/>
  </w:num>
  <w:num w:numId="28" w16cid:durableId="1182817735">
    <w:abstractNumId w:val="13"/>
  </w:num>
  <w:num w:numId="29" w16cid:durableId="350767147">
    <w:abstractNumId w:val="1"/>
  </w:num>
  <w:num w:numId="30" w16cid:durableId="290521268">
    <w:abstractNumId w:val="4"/>
  </w:num>
  <w:num w:numId="31" w16cid:durableId="440684232">
    <w:abstractNumId w:val="32"/>
  </w:num>
  <w:num w:numId="32" w16cid:durableId="184515464">
    <w:abstractNumId w:val="15"/>
  </w:num>
  <w:num w:numId="33" w16cid:durableId="1137912296">
    <w:abstractNumId w:val="29"/>
  </w:num>
  <w:num w:numId="34" w16cid:durableId="1709917635">
    <w:abstractNumId w:val="11"/>
  </w:num>
  <w:num w:numId="35" w16cid:durableId="1002703262">
    <w:abstractNumId w:val="2"/>
  </w:num>
  <w:num w:numId="36" w16cid:durableId="238903704">
    <w:abstractNumId w:val="10"/>
  </w:num>
  <w:num w:numId="37" w16cid:durableId="1528568980">
    <w:abstractNumId w:val="25"/>
  </w:num>
  <w:num w:numId="38" w16cid:durableId="20098689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B30"/>
    <w:rsid w:val="00025E34"/>
    <w:rsid w:val="00036247"/>
    <w:rsid w:val="000517C1"/>
    <w:rsid w:val="000E04FC"/>
    <w:rsid w:val="001031CF"/>
    <w:rsid w:val="00135628"/>
    <w:rsid w:val="0013608C"/>
    <w:rsid w:val="00155310"/>
    <w:rsid w:val="00184999"/>
    <w:rsid w:val="001942DE"/>
    <w:rsid w:val="001C69E1"/>
    <w:rsid w:val="0021676E"/>
    <w:rsid w:val="002844C4"/>
    <w:rsid w:val="0028612D"/>
    <w:rsid w:val="002C7771"/>
    <w:rsid w:val="002D0F46"/>
    <w:rsid w:val="002D234F"/>
    <w:rsid w:val="00315795"/>
    <w:rsid w:val="00327C58"/>
    <w:rsid w:val="00343F78"/>
    <w:rsid w:val="00367CB4"/>
    <w:rsid w:val="0037590B"/>
    <w:rsid w:val="003A35BD"/>
    <w:rsid w:val="003B7DCA"/>
    <w:rsid w:val="00425446"/>
    <w:rsid w:val="00455DA1"/>
    <w:rsid w:val="004B2A84"/>
    <w:rsid w:val="004D1DA8"/>
    <w:rsid w:val="00511CBE"/>
    <w:rsid w:val="00525C8B"/>
    <w:rsid w:val="00575B5C"/>
    <w:rsid w:val="00577195"/>
    <w:rsid w:val="005A606A"/>
    <w:rsid w:val="005E6D1B"/>
    <w:rsid w:val="00667CD4"/>
    <w:rsid w:val="006755DE"/>
    <w:rsid w:val="00675E89"/>
    <w:rsid w:val="006D19AE"/>
    <w:rsid w:val="006E4325"/>
    <w:rsid w:val="006F3855"/>
    <w:rsid w:val="00702C6C"/>
    <w:rsid w:val="00705652"/>
    <w:rsid w:val="007428A9"/>
    <w:rsid w:val="0078464C"/>
    <w:rsid w:val="007B719A"/>
    <w:rsid w:val="007C05DA"/>
    <w:rsid w:val="007F7CE8"/>
    <w:rsid w:val="00804548"/>
    <w:rsid w:val="00816305"/>
    <w:rsid w:val="00871B5B"/>
    <w:rsid w:val="00897C52"/>
    <w:rsid w:val="008C2ED1"/>
    <w:rsid w:val="008C47A4"/>
    <w:rsid w:val="008E777B"/>
    <w:rsid w:val="008F1EE8"/>
    <w:rsid w:val="00937865"/>
    <w:rsid w:val="009856B6"/>
    <w:rsid w:val="009D12A6"/>
    <w:rsid w:val="00A52C4B"/>
    <w:rsid w:val="00A62555"/>
    <w:rsid w:val="00A92287"/>
    <w:rsid w:val="00AC68C4"/>
    <w:rsid w:val="00B0038C"/>
    <w:rsid w:val="00B16DF5"/>
    <w:rsid w:val="00B20245"/>
    <w:rsid w:val="00B41C95"/>
    <w:rsid w:val="00B44615"/>
    <w:rsid w:val="00B8718F"/>
    <w:rsid w:val="00BD72C5"/>
    <w:rsid w:val="00BF0029"/>
    <w:rsid w:val="00C11260"/>
    <w:rsid w:val="00C21259"/>
    <w:rsid w:val="00C4474A"/>
    <w:rsid w:val="00CA0151"/>
    <w:rsid w:val="00CC070D"/>
    <w:rsid w:val="00CC59DF"/>
    <w:rsid w:val="00CE0073"/>
    <w:rsid w:val="00D252C3"/>
    <w:rsid w:val="00D36847"/>
    <w:rsid w:val="00D369A0"/>
    <w:rsid w:val="00D6738D"/>
    <w:rsid w:val="00D74DE4"/>
    <w:rsid w:val="00D74F23"/>
    <w:rsid w:val="00D827D3"/>
    <w:rsid w:val="00D91E20"/>
    <w:rsid w:val="00DC7761"/>
    <w:rsid w:val="00DD7AEB"/>
    <w:rsid w:val="00DF1BD7"/>
    <w:rsid w:val="00DF570C"/>
    <w:rsid w:val="00DF5A0F"/>
    <w:rsid w:val="00E17B30"/>
    <w:rsid w:val="00E37E27"/>
    <w:rsid w:val="00E410F8"/>
    <w:rsid w:val="00E539BE"/>
    <w:rsid w:val="00E560A3"/>
    <w:rsid w:val="00E656BB"/>
    <w:rsid w:val="00EA5DED"/>
    <w:rsid w:val="00F851E6"/>
    <w:rsid w:val="00F942EA"/>
    <w:rsid w:val="00F95A19"/>
    <w:rsid w:val="00FA30D9"/>
    <w:rsid w:val="00FF0A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925DE"/>
  <w15:chartTrackingRefBased/>
  <w15:docId w15:val="{0766AFC3-76E6-481D-8D95-52EF01F68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A0F"/>
    <w:pPr>
      <w:overflowPunct w:val="0"/>
      <w:autoSpaceDE w:val="0"/>
      <w:autoSpaceDN w:val="0"/>
      <w:adjustRightInd w:val="0"/>
      <w:spacing w:after="0" w:line="240" w:lineRule="auto"/>
      <w:textAlignment w:val="baseline"/>
    </w:pPr>
    <w:rPr>
      <w:rFonts w:ascii="Times New Roman" w:eastAsia="Times New Roman" w:hAnsi="Times New Roman" w:cs="Times New Roman"/>
      <w:sz w:val="26"/>
      <w:szCs w:val="20"/>
      <w:lang w:val="en-GB"/>
    </w:rPr>
  </w:style>
  <w:style w:type="paragraph" w:styleId="Heading1">
    <w:name w:val="heading 1"/>
    <w:basedOn w:val="Normal"/>
    <w:next w:val="Normal"/>
    <w:link w:val="Heading1Char"/>
    <w:qFormat/>
    <w:rsid w:val="00E17B30"/>
    <w:pPr>
      <w:keepNext/>
      <w:numPr>
        <w:numId w:val="1"/>
      </w:numPr>
      <w:spacing w:before="240" w:after="60"/>
      <w:ind w:left="3414"/>
      <w:outlineLvl w:val="0"/>
    </w:pPr>
    <w:rPr>
      <w:b/>
      <w:bCs/>
      <w:kern w:val="32"/>
      <w:sz w:val="24"/>
      <w:szCs w:val="24"/>
      <w:u w:val="single"/>
    </w:rPr>
  </w:style>
  <w:style w:type="paragraph" w:styleId="Heading2">
    <w:name w:val="heading 2"/>
    <w:basedOn w:val="Normal"/>
    <w:next w:val="Normal"/>
    <w:link w:val="Heading2Char"/>
    <w:uiPriority w:val="9"/>
    <w:semiHidden/>
    <w:unhideWhenUsed/>
    <w:qFormat/>
    <w:rsid w:val="0013608C"/>
    <w:pPr>
      <w:keepNext/>
      <w:keepLines/>
      <w:spacing w:before="40"/>
      <w:outlineLvl w:val="1"/>
    </w:pPr>
    <w:rPr>
      <w:rFonts w:asciiTheme="majorHAnsi" w:eastAsiaTheme="majorEastAsia" w:hAnsiTheme="majorHAnsi" w:cstheme="majorBidi"/>
      <w:color w:val="2E74B5"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7B30"/>
    <w:rPr>
      <w:rFonts w:ascii="Times New Roman" w:eastAsia="Times New Roman" w:hAnsi="Times New Roman" w:cs="Times New Roman"/>
      <w:b/>
      <w:bCs/>
      <w:kern w:val="32"/>
      <w:sz w:val="24"/>
      <w:szCs w:val="24"/>
      <w:u w:val="single"/>
      <w:lang w:val="en-GB"/>
    </w:rPr>
  </w:style>
  <w:style w:type="paragraph" w:styleId="ListParagraph">
    <w:name w:val="List Paragraph"/>
    <w:basedOn w:val="Normal"/>
    <w:uiPriority w:val="34"/>
    <w:qFormat/>
    <w:rsid w:val="00E17B30"/>
    <w:pPr>
      <w:ind w:left="720"/>
      <w:contextualSpacing/>
    </w:pPr>
  </w:style>
  <w:style w:type="paragraph" w:styleId="BalloonText">
    <w:name w:val="Balloon Text"/>
    <w:basedOn w:val="Normal"/>
    <w:link w:val="BalloonTextChar"/>
    <w:uiPriority w:val="99"/>
    <w:semiHidden/>
    <w:unhideWhenUsed/>
    <w:rsid w:val="00B202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245"/>
    <w:rPr>
      <w:rFonts w:ascii="Segoe UI" w:eastAsia="Times New Roman" w:hAnsi="Segoe UI" w:cs="Segoe UI"/>
      <w:sz w:val="18"/>
      <w:szCs w:val="18"/>
      <w:lang w:val="en-GB"/>
    </w:rPr>
  </w:style>
  <w:style w:type="paragraph" w:styleId="Header">
    <w:name w:val="header"/>
    <w:basedOn w:val="Normal"/>
    <w:link w:val="HeaderChar"/>
    <w:uiPriority w:val="99"/>
    <w:unhideWhenUsed/>
    <w:rsid w:val="008F1EE8"/>
    <w:pPr>
      <w:tabs>
        <w:tab w:val="center" w:pos="4513"/>
        <w:tab w:val="right" w:pos="9026"/>
      </w:tabs>
    </w:pPr>
  </w:style>
  <w:style w:type="character" w:customStyle="1" w:styleId="HeaderChar">
    <w:name w:val="Header Char"/>
    <w:basedOn w:val="DefaultParagraphFont"/>
    <w:link w:val="Header"/>
    <w:uiPriority w:val="99"/>
    <w:rsid w:val="008F1EE8"/>
    <w:rPr>
      <w:rFonts w:ascii="Times New Roman" w:eastAsia="Times New Roman" w:hAnsi="Times New Roman" w:cs="Times New Roman"/>
      <w:sz w:val="26"/>
      <w:szCs w:val="20"/>
      <w:lang w:val="en-GB"/>
    </w:rPr>
  </w:style>
  <w:style w:type="paragraph" w:styleId="Footer">
    <w:name w:val="footer"/>
    <w:basedOn w:val="Normal"/>
    <w:link w:val="FooterChar"/>
    <w:uiPriority w:val="99"/>
    <w:unhideWhenUsed/>
    <w:rsid w:val="008F1EE8"/>
    <w:pPr>
      <w:tabs>
        <w:tab w:val="center" w:pos="4513"/>
        <w:tab w:val="right" w:pos="9026"/>
      </w:tabs>
    </w:pPr>
  </w:style>
  <w:style w:type="character" w:customStyle="1" w:styleId="FooterChar">
    <w:name w:val="Footer Char"/>
    <w:basedOn w:val="DefaultParagraphFont"/>
    <w:link w:val="Footer"/>
    <w:uiPriority w:val="99"/>
    <w:rsid w:val="008F1EE8"/>
    <w:rPr>
      <w:rFonts w:ascii="Times New Roman" w:eastAsia="Times New Roman" w:hAnsi="Times New Roman" w:cs="Times New Roman"/>
      <w:sz w:val="26"/>
      <w:szCs w:val="20"/>
      <w:lang w:val="en-GB"/>
    </w:rPr>
  </w:style>
  <w:style w:type="character" w:styleId="Hyperlink">
    <w:name w:val="Hyperlink"/>
    <w:semiHidden/>
    <w:rsid w:val="008E777B"/>
    <w:rPr>
      <w:color w:val="0000FF"/>
      <w:u w:val="single"/>
    </w:rPr>
  </w:style>
  <w:style w:type="table" w:customStyle="1" w:styleId="TableGrid1">
    <w:name w:val="Table Grid1"/>
    <w:basedOn w:val="TableNormal"/>
    <w:next w:val="TableGrid"/>
    <w:rsid w:val="0013608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136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3608C"/>
    <w:rPr>
      <w:rFonts w:asciiTheme="majorHAnsi" w:eastAsiaTheme="majorEastAsia" w:hAnsiTheme="majorHAnsi" w:cstheme="majorBidi"/>
      <w:color w:val="2E74B5" w:themeColor="accent1" w:themeShade="BF"/>
      <w:sz w:val="26"/>
      <w:szCs w:val="26"/>
      <w:lang w:val="en-GB"/>
    </w:rPr>
  </w:style>
  <w:style w:type="character" w:styleId="UnresolvedMention">
    <w:name w:val="Unresolved Mention"/>
    <w:basedOn w:val="DefaultParagraphFont"/>
    <w:uiPriority w:val="99"/>
    <w:semiHidden/>
    <w:unhideWhenUsed/>
    <w:rsid w:val="00667CD4"/>
    <w:rPr>
      <w:color w:val="605E5C"/>
      <w:shd w:val="clear" w:color="auto" w:fill="E1DFDD"/>
    </w:rPr>
  </w:style>
  <w:style w:type="paragraph" w:styleId="Revision">
    <w:name w:val="Revision"/>
    <w:hidden/>
    <w:uiPriority w:val="99"/>
    <w:semiHidden/>
    <w:rsid w:val="00D369A0"/>
    <w:pPr>
      <w:spacing w:after="0" w:line="240" w:lineRule="auto"/>
    </w:pPr>
    <w:rPr>
      <w:rFonts w:ascii="Times New Roman" w:eastAsia="Times New Roman" w:hAnsi="Times New Roman" w:cs="Times New Roman"/>
      <w:sz w:val="26"/>
      <w:szCs w:val="20"/>
      <w:lang w:val="en-GB"/>
    </w:rPr>
  </w:style>
  <w:style w:type="character" w:styleId="CommentReference">
    <w:name w:val="annotation reference"/>
    <w:basedOn w:val="DefaultParagraphFont"/>
    <w:uiPriority w:val="99"/>
    <w:semiHidden/>
    <w:unhideWhenUsed/>
    <w:rsid w:val="00D369A0"/>
    <w:rPr>
      <w:sz w:val="16"/>
      <w:szCs w:val="16"/>
    </w:rPr>
  </w:style>
  <w:style w:type="paragraph" w:styleId="CommentText">
    <w:name w:val="annotation text"/>
    <w:basedOn w:val="Normal"/>
    <w:link w:val="CommentTextChar"/>
    <w:uiPriority w:val="99"/>
    <w:unhideWhenUsed/>
    <w:rsid w:val="00D369A0"/>
    <w:rPr>
      <w:sz w:val="20"/>
    </w:rPr>
  </w:style>
  <w:style w:type="character" w:customStyle="1" w:styleId="CommentTextChar">
    <w:name w:val="Comment Text Char"/>
    <w:basedOn w:val="DefaultParagraphFont"/>
    <w:link w:val="CommentText"/>
    <w:uiPriority w:val="99"/>
    <w:rsid w:val="00D369A0"/>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369A0"/>
    <w:rPr>
      <w:b/>
      <w:bCs/>
    </w:rPr>
  </w:style>
  <w:style w:type="character" w:customStyle="1" w:styleId="CommentSubjectChar">
    <w:name w:val="Comment Subject Char"/>
    <w:basedOn w:val="CommentTextChar"/>
    <w:link w:val="CommentSubject"/>
    <w:uiPriority w:val="99"/>
    <w:semiHidden/>
    <w:rsid w:val="00D369A0"/>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0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scat.tas.gov.au/publications/forms" TargetMode="External"/><Relationship Id="rId13" Type="http://schemas.openxmlformats.org/officeDocument/2006/relationships/hyperlink" Target="http://www.legislation.tas.gov.a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ascat.tas.gov.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cs@tascat.tas.gov.a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tascat.tas.gov.au/civil-consumer/making-an-application/types-of-application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ascat.tas.gov.au/publications/forms" TargetMode="External"/><Relationship Id="rId14" Type="http://schemas.openxmlformats.org/officeDocument/2006/relationships/hyperlink" Target="https://www.tascat.tas.gov.au/publications/fact-sheet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cs@tascat.tas.gov.au" TargetMode="External"/><Relationship Id="rId1" Type="http://schemas.openxmlformats.org/officeDocument/2006/relationships/hyperlink" Target="http://www.tascat.tas.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59826-5F82-47FA-A8E2-9D3414CD5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4394</Words>
  <Characters>25047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The Department of Justice</Company>
  <LinksUpToDate>false</LinksUpToDate>
  <CharactersWithSpaces>29383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Clues, Alison</dc:creator>
  <cp:keywords/>
  <dc:description/>
  <cp:lastModifiedBy>Thomas, Ross</cp:lastModifiedBy>
  <cp:revision>2</cp:revision>
  <cp:lastPrinted>2021-11-02T05:31:00Z</cp:lastPrinted>
  <dcterms:created xsi:type="dcterms:W3CDTF">2026-10-06T01:36:00Z</dcterms:created>
  <dcterms:modified xsi:type="dcterms:W3CDTF">2026-10-06T01:36:00Z</dcterms:modified>
</cp:coreProperties>
</file>