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EB9BB" w14:textId="7A4D12E2" w:rsidR="00E4259F" w:rsidRPr="001A4DAE" w:rsidRDefault="00E4259F" w:rsidP="003665EE">
      <w:pPr>
        <w:pStyle w:val="Heading1"/>
        <w:pBdr>
          <w:bottom w:val="single" w:sz="4" w:space="1" w:color="auto"/>
        </w:pBdr>
        <w:rPr>
          <w:rFonts w:ascii="Arial" w:hAnsi="Arial" w:cs="Arial"/>
        </w:rPr>
      </w:pPr>
      <w:r w:rsidRPr="001A4DAE">
        <w:rPr>
          <w:rFonts w:ascii="Arial" w:hAnsi="Arial" w:cs="Arial"/>
        </w:rPr>
        <w:t xml:space="preserve">PRACTICE DIRECTION 1 - Reporting requirements for Administrators under the </w:t>
      </w:r>
      <w:r w:rsidRPr="001A4DAE">
        <w:rPr>
          <w:rFonts w:ascii="Arial" w:hAnsi="Arial" w:cs="Arial"/>
          <w:i/>
          <w:iCs/>
        </w:rPr>
        <w:t>Guardianship and Administration Act</w:t>
      </w:r>
      <w:r w:rsidRPr="001A4DAE">
        <w:rPr>
          <w:rFonts w:ascii="Arial" w:hAnsi="Arial" w:cs="Arial"/>
        </w:rPr>
        <w:t xml:space="preserve"> 1995.</w:t>
      </w:r>
    </w:p>
    <w:p w14:paraId="3BF8D1AB" w14:textId="73F346D7" w:rsidR="00E4259F" w:rsidRPr="001A4DAE" w:rsidRDefault="00E4259F" w:rsidP="00B110A0">
      <w:pPr>
        <w:spacing w:after="120"/>
        <w:rPr>
          <w:rFonts w:ascii="Arial" w:hAnsi="Arial" w:cs="Arial"/>
        </w:rPr>
      </w:pPr>
      <w:r w:rsidRPr="001A4DAE">
        <w:rPr>
          <w:rFonts w:ascii="Arial" w:hAnsi="Arial" w:cs="Arial"/>
        </w:rPr>
        <w:t xml:space="preserve">This Practice Direction is made pursuant to Section 93 of the </w:t>
      </w:r>
      <w:r w:rsidRPr="00A257F3">
        <w:rPr>
          <w:rFonts w:ascii="Arial" w:hAnsi="Arial" w:cs="Arial"/>
          <w:i/>
          <w:iCs/>
        </w:rPr>
        <w:t>Tasmanian Civil and Administrative Tribunal Act 2020</w:t>
      </w:r>
      <w:r w:rsidRPr="001A4DAE">
        <w:rPr>
          <w:rFonts w:ascii="Arial" w:hAnsi="Arial" w:cs="Arial"/>
        </w:rPr>
        <w:t>.</w:t>
      </w:r>
    </w:p>
    <w:p w14:paraId="23D98E79" w14:textId="244500EC" w:rsidR="00E4259F" w:rsidRPr="001A4DAE" w:rsidRDefault="00E4259F" w:rsidP="00B110A0">
      <w:pPr>
        <w:spacing w:after="120"/>
        <w:rPr>
          <w:rFonts w:ascii="Arial" w:hAnsi="Arial" w:cs="Arial"/>
        </w:rPr>
      </w:pPr>
      <w:r w:rsidRPr="001A4DAE">
        <w:rPr>
          <w:rFonts w:ascii="Arial" w:hAnsi="Arial" w:cs="Arial"/>
        </w:rPr>
        <w:t xml:space="preserve">Persons who are appointed as Administrators under the </w:t>
      </w:r>
      <w:r w:rsidRPr="001A4DAE">
        <w:rPr>
          <w:rFonts w:ascii="Arial" w:hAnsi="Arial" w:cs="Arial"/>
          <w:i/>
          <w:iCs/>
        </w:rPr>
        <w:t xml:space="preserve">Guardianship and Administration Act </w:t>
      </w:r>
      <w:r w:rsidRPr="001A4DAE">
        <w:rPr>
          <w:rFonts w:ascii="Arial" w:hAnsi="Arial" w:cs="Arial"/>
        </w:rPr>
        <w:t xml:space="preserve">1995 are subject to reporting </w:t>
      </w:r>
      <w:r w:rsidR="00645E50" w:rsidRPr="001A4DAE">
        <w:rPr>
          <w:rFonts w:ascii="Arial" w:hAnsi="Arial" w:cs="Arial"/>
        </w:rPr>
        <w:t>requirements under</w:t>
      </w:r>
      <w:r w:rsidRPr="001A4DAE">
        <w:rPr>
          <w:rFonts w:ascii="Arial" w:hAnsi="Arial" w:cs="Arial"/>
        </w:rPr>
        <w:t xml:space="preserve"> Section</w:t>
      </w:r>
      <w:r w:rsidR="00520444" w:rsidRPr="001A4DAE">
        <w:rPr>
          <w:rFonts w:ascii="Arial" w:hAnsi="Arial" w:cs="Arial"/>
        </w:rPr>
        <w:t xml:space="preserve"> 63 </w:t>
      </w:r>
      <w:r w:rsidR="00CC2E0C" w:rsidRPr="001A4DAE">
        <w:rPr>
          <w:rFonts w:ascii="Arial" w:hAnsi="Arial" w:cs="Arial"/>
        </w:rPr>
        <w:t xml:space="preserve">and Section 66 </w:t>
      </w:r>
      <w:r w:rsidR="00520444" w:rsidRPr="001A4DAE">
        <w:rPr>
          <w:rFonts w:ascii="Arial" w:hAnsi="Arial" w:cs="Arial"/>
        </w:rPr>
        <w:t>of that Act</w:t>
      </w:r>
      <w:r w:rsidR="002E6274" w:rsidRPr="001A4DAE">
        <w:rPr>
          <w:rFonts w:ascii="Arial" w:hAnsi="Arial" w:cs="Arial"/>
        </w:rPr>
        <w:t xml:space="preserve"> which are set out at the end of this Practice Direction</w:t>
      </w:r>
      <w:r w:rsidR="00752DE0" w:rsidRPr="001A4DAE">
        <w:rPr>
          <w:rFonts w:ascii="Arial" w:hAnsi="Arial" w:cs="Arial"/>
        </w:rPr>
        <w:t xml:space="preserve"> in Appendix A.</w:t>
      </w:r>
      <w:r w:rsidR="005E6576" w:rsidRPr="001A4DAE">
        <w:rPr>
          <w:rFonts w:ascii="Arial" w:hAnsi="Arial" w:cs="Arial"/>
        </w:rPr>
        <w:t xml:space="preserve"> </w:t>
      </w:r>
    </w:p>
    <w:p w14:paraId="11B9CA2A" w14:textId="4C4B3ECF" w:rsidR="006523E3" w:rsidRPr="001A4DAE" w:rsidRDefault="00520444" w:rsidP="00B110A0">
      <w:pPr>
        <w:spacing w:after="120"/>
        <w:rPr>
          <w:rFonts w:ascii="Arial" w:hAnsi="Arial" w:cs="Arial"/>
        </w:rPr>
      </w:pPr>
      <w:r w:rsidRPr="001A4DAE">
        <w:rPr>
          <w:rFonts w:ascii="Arial" w:hAnsi="Arial" w:cs="Arial"/>
        </w:rPr>
        <w:t xml:space="preserve">This Practice Direction </w:t>
      </w:r>
      <w:r w:rsidR="006523E3" w:rsidRPr="001A4DAE">
        <w:rPr>
          <w:rFonts w:ascii="Arial" w:hAnsi="Arial" w:cs="Arial"/>
        </w:rPr>
        <w:t>has been issued to describe and explain the reporting requirements of the Tribunal for administrators under the Act.</w:t>
      </w:r>
    </w:p>
    <w:p w14:paraId="3C3A32B7" w14:textId="0E8069FF" w:rsidR="004C793A" w:rsidRPr="001A4DAE" w:rsidRDefault="00D83A48" w:rsidP="00B110A0">
      <w:pPr>
        <w:pStyle w:val="Heading2"/>
        <w:rPr>
          <w:rFonts w:ascii="Arial" w:hAnsi="Arial" w:cs="Arial"/>
        </w:rPr>
      </w:pPr>
      <w:r w:rsidRPr="001A4DAE">
        <w:rPr>
          <w:rFonts w:ascii="Arial" w:hAnsi="Arial" w:cs="Arial"/>
        </w:rPr>
        <w:t>Reporting requirements of the Tribunal:</w:t>
      </w:r>
    </w:p>
    <w:p w14:paraId="5E94131C" w14:textId="4AEEE838" w:rsidR="00054BA3" w:rsidRPr="001A4DAE" w:rsidRDefault="00054BA3" w:rsidP="00B110A0">
      <w:pPr>
        <w:spacing w:after="120"/>
        <w:rPr>
          <w:rFonts w:ascii="Arial" w:hAnsi="Arial" w:cs="Arial"/>
        </w:rPr>
      </w:pPr>
      <w:r w:rsidRPr="001A4DAE">
        <w:rPr>
          <w:rFonts w:ascii="Arial" w:hAnsi="Arial" w:cs="Arial"/>
        </w:rPr>
        <w:t>There are two categories of administrator appointed under the Act – private administrators and the Public Trustee.</w:t>
      </w:r>
      <w:r w:rsidR="00283BF8" w:rsidRPr="001A4DAE">
        <w:rPr>
          <w:rFonts w:ascii="Arial" w:hAnsi="Arial" w:cs="Arial"/>
        </w:rPr>
        <w:t xml:space="preserve"> </w:t>
      </w:r>
    </w:p>
    <w:p w14:paraId="2CDC6A4B" w14:textId="053AE394" w:rsidR="00F22B25" w:rsidRPr="001A4DAE" w:rsidRDefault="00900CA6" w:rsidP="00B110A0">
      <w:pPr>
        <w:spacing w:after="120"/>
        <w:rPr>
          <w:rFonts w:ascii="Arial" w:hAnsi="Arial" w:cs="Arial"/>
        </w:rPr>
      </w:pPr>
      <w:r w:rsidRPr="001A4DAE">
        <w:rPr>
          <w:rFonts w:ascii="Arial" w:hAnsi="Arial" w:cs="Arial"/>
        </w:rPr>
        <w:t>All persons appointed as an Administrator have two obligations.</w:t>
      </w:r>
      <w:r w:rsidR="00283BF8" w:rsidRPr="001A4DAE">
        <w:rPr>
          <w:rFonts w:ascii="Arial" w:hAnsi="Arial" w:cs="Arial"/>
        </w:rPr>
        <w:t xml:space="preserve"> </w:t>
      </w:r>
    </w:p>
    <w:p w14:paraId="444FE8FE" w14:textId="6E2F15C3" w:rsidR="00F22B25" w:rsidRPr="001A4DAE" w:rsidRDefault="00900CA6" w:rsidP="00B110A0">
      <w:pPr>
        <w:spacing w:after="120"/>
        <w:rPr>
          <w:rFonts w:ascii="Arial" w:hAnsi="Arial" w:cs="Arial"/>
        </w:rPr>
      </w:pPr>
      <w:r w:rsidRPr="001A4DAE">
        <w:rPr>
          <w:rFonts w:ascii="Arial" w:hAnsi="Arial" w:cs="Arial"/>
        </w:rPr>
        <w:t xml:space="preserve">The first is to provide a </w:t>
      </w:r>
      <w:r w:rsidRPr="001A4DAE">
        <w:rPr>
          <w:rFonts w:ascii="Arial" w:hAnsi="Arial" w:cs="Arial"/>
          <w:b/>
          <w:bCs/>
        </w:rPr>
        <w:t>report</w:t>
      </w:r>
      <w:r w:rsidRPr="001A4DAE">
        <w:rPr>
          <w:rFonts w:ascii="Arial" w:hAnsi="Arial" w:cs="Arial"/>
        </w:rPr>
        <w:t xml:space="preserve"> every 12 months that complies with Section 66 of the Act.</w:t>
      </w:r>
      <w:r w:rsidR="00283BF8" w:rsidRPr="001A4DAE">
        <w:rPr>
          <w:rFonts w:ascii="Arial" w:hAnsi="Arial" w:cs="Arial"/>
        </w:rPr>
        <w:t xml:space="preserve"> </w:t>
      </w:r>
    </w:p>
    <w:p w14:paraId="52EE2A35" w14:textId="19F8B6B6" w:rsidR="00FE07C1" w:rsidRPr="001A4DAE" w:rsidRDefault="00FE07C1" w:rsidP="00B110A0">
      <w:pPr>
        <w:spacing w:after="120"/>
        <w:rPr>
          <w:rFonts w:ascii="Arial" w:hAnsi="Arial" w:cs="Arial"/>
        </w:rPr>
      </w:pPr>
      <w:r w:rsidRPr="001A4DAE">
        <w:rPr>
          <w:rFonts w:ascii="Arial" w:hAnsi="Arial" w:cs="Arial"/>
        </w:rPr>
        <w:t>“Report” – a report under Section 66 is information about the welfare of the represented person, significant decisions that have been made on behalf of the represented person and how they were made and any changes in their circumstances</w:t>
      </w:r>
      <w:r w:rsidR="00A70D6E" w:rsidRPr="001A4DAE">
        <w:rPr>
          <w:rFonts w:ascii="Arial" w:hAnsi="Arial" w:cs="Arial"/>
        </w:rPr>
        <w:t xml:space="preserve"> over each </w:t>
      </w:r>
      <w:r w:rsidR="00211A4D" w:rsidRPr="001A4DAE">
        <w:rPr>
          <w:rFonts w:ascii="Arial" w:hAnsi="Arial" w:cs="Arial"/>
        </w:rPr>
        <w:t>12-month</w:t>
      </w:r>
      <w:r w:rsidR="00A70D6E" w:rsidRPr="001A4DAE">
        <w:rPr>
          <w:rFonts w:ascii="Arial" w:hAnsi="Arial" w:cs="Arial"/>
        </w:rPr>
        <w:t xml:space="preserve"> period since the order was made</w:t>
      </w:r>
      <w:r w:rsidRPr="001A4DAE">
        <w:rPr>
          <w:rFonts w:ascii="Arial" w:hAnsi="Arial" w:cs="Arial"/>
        </w:rPr>
        <w:t>.</w:t>
      </w:r>
      <w:r w:rsidR="00283BF8" w:rsidRPr="001A4DAE">
        <w:rPr>
          <w:rFonts w:ascii="Arial" w:hAnsi="Arial" w:cs="Arial"/>
        </w:rPr>
        <w:t xml:space="preserve"> </w:t>
      </w:r>
    </w:p>
    <w:p w14:paraId="3DE78C65" w14:textId="0C8B6FFA" w:rsidR="00900CA6" w:rsidRPr="001A4DAE" w:rsidRDefault="00900CA6" w:rsidP="00B110A0">
      <w:pPr>
        <w:spacing w:after="120"/>
        <w:rPr>
          <w:rFonts w:ascii="Arial" w:hAnsi="Arial" w:cs="Arial"/>
        </w:rPr>
      </w:pPr>
      <w:r w:rsidRPr="001A4DAE">
        <w:rPr>
          <w:rFonts w:ascii="Arial" w:hAnsi="Arial" w:cs="Arial"/>
        </w:rPr>
        <w:t xml:space="preserve">The second is to provide a </w:t>
      </w:r>
      <w:r w:rsidRPr="001A4DAE">
        <w:rPr>
          <w:rFonts w:ascii="Arial" w:hAnsi="Arial" w:cs="Arial"/>
          <w:b/>
          <w:bCs/>
        </w:rPr>
        <w:t>statement of accounts</w:t>
      </w:r>
      <w:r w:rsidRPr="001A4DAE">
        <w:rPr>
          <w:rFonts w:ascii="Arial" w:hAnsi="Arial" w:cs="Arial"/>
        </w:rPr>
        <w:t xml:space="preserve"> with respect to the financial matters of a represented person </w:t>
      </w:r>
      <w:r w:rsidRPr="001A4DAE">
        <w:rPr>
          <w:rFonts w:ascii="Arial" w:hAnsi="Arial" w:cs="Arial"/>
          <w:u w:val="single"/>
        </w:rPr>
        <w:t>at such times as the Tribunal determines</w:t>
      </w:r>
      <w:r w:rsidRPr="001A4DAE">
        <w:rPr>
          <w:rFonts w:ascii="Arial" w:hAnsi="Arial" w:cs="Arial"/>
        </w:rPr>
        <w:t xml:space="preserve"> as set out in Section 63 of the Act.</w:t>
      </w:r>
      <w:r w:rsidR="00283BF8" w:rsidRPr="001A4DAE">
        <w:rPr>
          <w:rFonts w:ascii="Arial" w:hAnsi="Arial" w:cs="Arial"/>
        </w:rPr>
        <w:t xml:space="preserve"> </w:t>
      </w:r>
      <w:r w:rsidR="00F22B25" w:rsidRPr="001A4DAE">
        <w:rPr>
          <w:rFonts w:ascii="Arial" w:hAnsi="Arial" w:cs="Arial"/>
        </w:rPr>
        <w:t>The Tribunal may exercise a discretion as to when a statement of accounts is required and in what form it needs to be submitted.</w:t>
      </w:r>
    </w:p>
    <w:p w14:paraId="55E52EF5" w14:textId="5C8AFDD3" w:rsidR="00FE07C1" w:rsidRPr="001A4DAE" w:rsidRDefault="00FE07C1" w:rsidP="00B110A0">
      <w:pPr>
        <w:spacing w:after="120"/>
        <w:rPr>
          <w:rFonts w:ascii="Arial" w:hAnsi="Arial" w:cs="Arial"/>
        </w:rPr>
      </w:pPr>
      <w:r w:rsidRPr="001A4DAE">
        <w:rPr>
          <w:rFonts w:ascii="Arial" w:hAnsi="Arial" w:cs="Arial"/>
        </w:rPr>
        <w:t>“Statement of Accounts” – a statement of accounts under Section 63 provides details of the income and expenditure of a represented person.</w:t>
      </w:r>
      <w:r w:rsidR="00283BF8" w:rsidRPr="001A4DAE">
        <w:rPr>
          <w:rFonts w:ascii="Arial" w:hAnsi="Arial" w:cs="Arial"/>
        </w:rPr>
        <w:t xml:space="preserve"> </w:t>
      </w:r>
      <w:r w:rsidRPr="001A4DAE">
        <w:rPr>
          <w:rFonts w:ascii="Arial" w:hAnsi="Arial" w:cs="Arial"/>
        </w:rPr>
        <w:t>This will include income from all sources,</w:t>
      </w:r>
      <w:r w:rsidR="00DB2512" w:rsidRPr="001A4DAE">
        <w:rPr>
          <w:rFonts w:ascii="Arial" w:hAnsi="Arial" w:cs="Arial"/>
        </w:rPr>
        <w:t xml:space="preserve"> </w:t>
      </w:r>
      <w:r w:rsidR="00645E50" w:rsidRPr="001A4DAE">
        <w:rPr>
          <w:rFonts w:ascii="Arial" w:hAnsi="Arial" w:cs="Arial"/>
        </w:rPr>
        <w:t>details of</w:t>
      </w:r>
      <w:r w:rsidR="00283BF8" w:rsidRPr="001A4DAE">
        <w:rPr>
          <w:rFonts w:ascii="Arial" w:hAnsi="Arial" w:cs="Arial"/>
        </w:rPr>
        <w:t xml:space="preserve"> </w:t>
      </w:r>
      <w:r w:rsidRPr="001A4DAE">
        <w:rPr>
          <w:rFonts w:ascii="Arial" w:hAnsi="Arial" w:cs="Arial"/>
        </w:rPr>
        <w:t>expenditure</w:t>
      </w:r>
      <w:r w:rsidR="005C0B27" w:rsidRPr="001A4DAE">
        <w:rPr>
          <w:rFonts w:ascii="Arial" w:hAnsi="Arial" w:cs="Arial"/>
        </w:rPr>
        <w:t xml:space="preserve">, </w:t>
      </w:r>
      <w:r w:rsidRPr="001A4DAE">
        <w:rPr>
          <w:rFonts w:ascii="Arial" w:hAnsi="Arial" w:cs="Arial"/>
        </w:rPr>
        <w:t>sales</w:t>
      </w:r>
      <w:r w:rsidR="005C0B27" w:rsidRPr="001A4DAE">
        <w:rPr>
          <w:rFonts w:ascii="Arial" w:hAnsi="Arial" w:cs="Arial"/>
        </w:rPr>
        <w:t xml:space="preserve"> of </w:t>
      </w:r>
      <w:r w:rsidR="00283BF8" w:rsidRPr="001A4DAE">
        <w:rPr>
          <w:rFonts w:ascii="Arial" w:hAnsi="Arial" w:cs="Arial"/>
        </w:rPr>
        <w:t>assets,</w:t>
      </w:r>
      <w:r w:rsidR="005C0B27" w:rsidRPr="001A4DAE">
        <w:rPr>
          <w:rFonts w:ascii="Arial" w:hAnsi="Arial" w:cs="Arial"/>
        </w:rPr>
        <w:t xml:space="preserve"> gifting in accordance with the terms of the order</w:t>
      </w:r>
      <w:r w:rsidRPr="001A4DAE">
        <w:rPr>
          <w:rFonts w:ascii="Arial" w:hAnsi="Arial" w:cs="Arial"/>
        </w:rPr>
        <w:t>.</w:t>
      </w:r>
    </w:p>
    <w:p w14:paraId="2BD8C1E7" w14:textId="3C26557F" w:rsidR="00900CA6" w:rsidRPr="001A4DAE" w:rsidRDefault="00372E04" w:rsidP="006523E3">
      <w:pPr>
        <w:rPr>
          <w:rFonts w:ascii="Arial" w:hAnsi="Arial" w:cs="Arial"/>
        </w:rPr>
      </w:pPr>
      <w:r w:rsidRPr="001A4DAE">
        <w:rPr>
          <w:rFonts w:ascii="Arial" w:hAnsi="Arial" w:cs="Arial"/>
        </w:rPr>
        <w:t>The Tribunal examines a report provided under Section 63.</w:t>
      </w:r>
      <w:r w:rsidR="00283BF8" w:rsidRPr="001A4DAE">
        <w:rPr>
          <w:rFonts w:ascii="Arial" w:hAnsi="Arial" w:cs="Arial"/>
        </w:rPr>
        <w:t xml:space="preserve"> </w:t>
      </w:r>
      <w:r w:rsidRPr="001A4DAE">
        <w:rPr>
          <w:rFonts w:ascii="Arial" w:hAnsi="Arial" w:cs="Arial"/>
        </w:rPr>
        <w:t>It may refer the report to the Public Trustee or</w:t>
      </w:r>
      <w:r w:rsidR="00001836" w:rsidRPr="001A4DAE">
        <w:rPr>
          <w:rFonts w:ascii="Arial" w:hAnsi="Arial" w:cs="Arial"/>
        </w:rPr>
        <w:t xml:space="preserve"> a suitably qualified </w:t>
      </w:r>
      <w:r w:rsidRPr="001A4DAE">
        <w:rPr>
          <w:rFonts w:ascii="Arial" w:hAnsi="Arial" w:cs="Arial"/>
        </w:rPr>
        <w:t>person to be audited.</w:t>
      </w:r>
      <w:r w:rsidR="00283BF8" w:rsidRPr="001A4DAE">
        <w:rPr>
          <w:rFonts w:ascii="Arial" w:hAnsi="Arial" w:cs="Arial"/>
        </w:rPr>
        <w:t xml:space="preserve"> </w:t>
      </w:r>
      <w:r w:rsidRPr="001A4DAE">
        <w:rPr>
          <w:rFonts w:ascii="Arial" w:hAnsi="Arial" w:cs="Arial"/>
        </w:rPr>
        <w:t>It may also decide to review the Administration Order by holding a hearing about the order and the report.</w:t>
      </w:r>
    </w:p>
    <w:p w14:paraId="4FF8A7B1" w14:textId="3EDDD6E7" w:rsidR="00023732" w:rsidRDefault="00023732">
      <w:pPr>
        <w:spacing w:before="0" w:after="0"/>
        <w:rPr>
          <w:rFonts w:ascii="Arial" w:hAnsi="Arial" w:cs="Arial"/>
        </w:rPr>
      </w:pPr>
      <w:r>
        <w:rPr>
          <w:rFonts w:ascii="Arial" w:hAnsi="Arial" w:cs="Arial"/>
        </w:rPr>
        <w:br w:type="page"/>
      </w:r>
    </w:p>
    <w:p w14:paraId="21074801" w14:textId="12536ADB" w:rsidR="006B3E88" w:rsidRPr="001A4DAE" w:rsidRDefault="006B3E88" w:rsidP="006523E3">
      <w:pPr>
        <w:rPr>
          <w:rFonts w:ascii="Arial" w:hAnsi="Arial" w:cs="Arial"/>
        </w:rPr>
      </w:pPr>
      <w:r w:rsidRPr="001A4DAE">
        <w:rPr>
          <w:rFonts w:ascii="Arial" w:hAnsi="Arial" w:cs="Arial"/>
        </w:rPr>
        <w:lastRenderedPageBreak/>
        <w:t>Administration Orders are usually made for a period of 3 years.</w:t>
      </w:r>
      <w:r w:rsidR="00283BF8" w:rsidRPr="001A4DAE">
        <w:rPr>
          <w:rFonts w:ascii="Arial" w:hAnsi="Arial" w:cs="Arial"/>
        </w:rPr>
        <w:t xml:space="preserve"> </w:t>
      </w:r>
      <w:r w:rsidRPr="001A4DAE">
        <w:rPr>
          <w:rFonts w:ascii="Arial" w:hAnsi="Arial" w:cs="Arial"/>
        </w:rPr>
        <w:t>There are some orders that are made for a shorter duration.</w:t>
      </w:r>
      <w:r w:rsidR="00283BF8" w:rsidRPr="001A4DAE">
        <w:rPr>
          <w:rFonts w:ascii="Arial" w:hAnsi="Arial" w:cs="Arial"/>
        </w:rPr>
        <w:t xml:space="preserve"> </w:t>
      </w:r>
      <w:r w:rsidR="000200FE" w:rsidRPr="001A4DAE">
        <w:rPr>
          <w:rFonts w:ascii="Arial" w:hAnsi="Arial" w:cs="Arial"/>
        </w:rPr>
        <w:t xml:space="preserve">The below standards are based on a </w:t>
      </w:r>
      <w:r w:rsidR="00C428BD" w:rsidRPr="001A4DAE">
        <w:rPr>
          <w:rFonts w:ascii="Arial" w:hAnsi="Arial" w:cs="Arial"/>
        </w:rPr>
        <w:t>3-year</w:t>
      </w:r>
      <w:r w:rsidR="000200FE" w:rsidRPr="001A4DAE">
        <w:rPr>
          <w:rFonts w:ascii="Arial" w:hAnsi="Arial" w:cs="Arial"/>
        </w:rPr>
        <w:t xml:space="preserve"> order.</w:t>
      </w:r>
      <w:r w:rsidR="00283BF8" w:rsidRPr="001A4DAE">
        <w:rPr>
          <w:rFonts w:ascii="Arial" w:hAnsi="Arial" w:cs="Arial"/>
        </w:rPr>
        <w:t xml:space="preserve"> </w:t>
      </w:r>
      <w:r w:rsidR="000200FE" w:rsidRPr="001A4DAE">
        <w:rPr>
          <w:rFonts w:ascii="Arial" w:hAnsi="Arial" w:cs="Arial"/>
        </w:rPr>
        <w:t>The Tribunal will advise administrators of any reporting requirements for orders that are of a shorter timeframe.</w:t>
      </w:r>
    </w:p>
    <w:p w14:paraId="76660EAF" w14:textId="2A6ADF93" w:rsidR="00900CA6" w:rsidRPr="001A4DAE" w:rsidRDefault="00A257F3" w:rsidP="006523E3">
      <w:pPr>
        <w:rPr>
          <w:rFonts w:ascii="Arial" w:hAnsi="Arial" w:cs="Arial"/>
        </w:rPr>
      </w:pPr>
      <w:r>
        <w:rPr>
          <w:rFonts w:ascii="Arial" w:hAnsi="Arial" w:cs="Arial"/>
        </w:rPr>
        <w:t>From 1 September 2026 t</w:t>
      </w:r>
      <w:r w:rsidR="00900CA6" w:rsidRPr="001A4DAE">
        <w:rPr>
          <w:rFonts w:ascii="Arial" w:hAnsi="Arial" w:cs="Arial"/>
        </w:rPr>
        <w:t xml:space="preserve">he requirements for </w:t>
      </w:r>
      <w:r w:rsidR="000B28E7" w:rsidRPr="001A4DAE">
        <w:rPr>
          <w:rFonts w:ascii="Arial" w:hAnsi="Arial" w:cs="Arial"/>
        </w:rPr>
        <w:t>each type</w:t>
      </w:r>
      <w:r w:rsidR="00900CA6" w:rsidRPr="001A4DAE">
        <w:rPr>
          <w:rFonts w:ascii="Arial" w:hAnsi="Arial" w:cs="Arial"/>
        </w:rPr>
        <w:t xml:space="preserve"> of administrator are</w:t>
      </w:r>
      <w:r>
        <w:rPr>
          <w:rFonts w:ascii="Arial" w:hAnsi="Arial" w:cs="Arial"/>
        </w:rPr>
        <w:t xml:space="preserve"> as</w:t>
      </w:r>
      <w:r w:rsidR="00900CA6" w:rsidRPr="001A4DAE">
        <w:rPr>
          <w:rFonts w:ascii="Arial" w:hAnsi="Arial" w:cs="Arial"/>
        </w:rPr>
        <w:t xml:space="preserve"> set out below</w:t>
      </w:r>
      <w:r w:rsidR="00F22B25" w:rsidRPr="001A4DAE">
        <w:rPr>
          <w:rFonts w:ascii="Arial" w:hAnsi="Arial" w:cs="Arial"/>
        </w:rPr>
        <w:t>.</w:t>
      </w:r>
    </w:p>
    <w:p w14:paraId="738C6219" w14:textId="16A7627A" w:rsidR="00054BA3" w:rsidRPr="001A4DAE" w:rsidRDefault="00054BA3" w:rsidP="00C428BD">
      <w:pPr>
        <w:pStyle w:val="Heading3"/>
        <w:rPr>
          <w:rFonts w:ascii="Arial" w:hAnsi="Arial" w:cs="Arial"/>
        </w:rPr>
      </w:pPr>
      <w:r w:rsidRPr="001A4DAE">
        <w:rPr>
          <w:rFonts w:ascii="Arial" w:hAnsi="Arial" w:cs="Arial"/>
        </w:rPr>
        <w:t>Private Administrators:</w:t>
      </w:r>
    </w:p>
    <w:p w14:paraId="4808DC4D" w14:textId="77777777" w:rsidR="006B3E88" w:rsidRPr="001A4DAE" w:rsidRDefault="006B3E88" w:rsidP="006523E3">
      <w:pPr>
        <w:rPr>
          <w:rFonts w:ascii="Arial" w:hAnsi="Arial" w:cs="Arial"/>
        </w:rPr>
      </w:pPr>
      <w:r w:rsidRPr="001A4DAE">
        <w:rPr>
          <w:rFonts w:ascii="Arial" w:hAnsi="Arial" w:cs="Arial"/>
        </w:rPr>
        <w:t>After 12 months, from the date the administration order is made,</w:t>
      </w:r>
      <w:r w:rsidR="00F22B25" w:rsidRPr="001A4DAE">
        <w:rPr>
          <w:rFonts w:ascii="Arial" w:hAnsi="Arial" w:cs="Arial"/>
        </w:rPr>
        <w:t xml:space="preserve"> a private administrator must</w:t>
      </w:r>
      <w:r w:rsidRPr="001A4DAE">
        <w:rPr>
          <w:rFonts w:ascii="Arial" w:hAnsi="Arial" w:cs="Arial"/>
        </w:rPr>
        <w:t>:</w:t>
      </w:r>
    </w:p>
    <w:p w14:paraId="558497DE" w14:textId="53BC25EB" w:rsidR="006B3E88" w:rsidRPr="001A4DAE" w:rsidRDefault="00F22B25" w:rsidP="006B3E88">
      <w:pPr>
        <w:pStyle w:val="ListParagraph"/>
        <w:numPr>
          <w:ilvl w:val="0"/>
          <w:numId w:val="3"/>
        </w:numPr>
        <w:rPr>
          <w:rFonts w:ascii="Arial" w:hAnsi="Arial" w:cs="Arial"/>
        </w:rPr>
      </w:pPr>
      <w:r w:rsidRPr="001A4DAE">
        <w:rPr>
          <w:rFonts w:ascii="Arial" w:hAnsi="Arial" w:cs="Arial"/>
        </w:rPr>
        <w:t xml:space="preserve">submit a </w:t>
      </w:r>
      <w:r w:rsidRPr="001A4DAE">
        <w:rPr>
          <w:rFonts w:ascii="Arial" w:hAnsi="Arial" w:cs="Arial"/>
          <w:b/>
          <w:bCs/>
        </w:rPr>
        <w:t>report</w:t>
      </w:r>
      <w:r w:rsidRPr="001A4DAE">
        <w:rPr>
          <w:rFonts w:ascii="Arial" w:hAnsi="Arial" w:cs="Arial"/>
        </w:rPr>
        <w:t xml:space="preserve"> as required by Section 66 by completing </w:t>
      </w:r>
      <w:r w:rsidR="00AD4013">
        <w:rPr>
          <w:rFonts w:ascii="Arial" w:hAnsi="Arial" w:cs="Arial"/>
        </w:rPr>
        <w:t xml:space="preserve">the </w:t>
      </w:r>
      <w:hyperlink r:id="rId7" w:history="1">
        <w:r w:rsidR="00AD4013" w:rsidRPr="00AD4013">
          <w:rPr>
            <w:rStyle w:val="Hyperlink"/>
            <w:rFonts w:ascii="Arial" w:hAnsi="Arial" w:cs="Arial"/>
          </w:rPr>
          <w:t xml:space="preserve">Administrator’s Annual Report </w:t>
        </w:r>
        <w:r w:rsidRPr="00AD4013">
          <w:rPr>
            <w:rStyle w:val="Hyperlink"/>
            <w:rFonts w:ascii="Arial" w:hAnsi="Arial" w:cs="Arial"/>
          </w:rPr>
          <w:t>form</w:t>
        </w:r>
      </w:hyperlink>
      <w:r w:rsidRPr="001A4DAE">
        <w:rPr>
          <w:rFonts w:ascii="Arial" w:hAnsi="Arial" w:cs="Arial"/>
        </w:rPr>
        <w:t>.</w:t>
      </w:r>
    </w:p>
    <w:p w14:paraId="35B8EC11" w14:textId="28EF3D92" w:rsidR="006B3E88" w:rsidRPr="001A4DAE" w:rsidRDefault="006B3E88" w:rsidP="006B3E88">
      <w:pPr>
        <w:pStyle w:val="ListParagraph"/>
        <w:numPr>
          <w:ilvl w:val="0"/>
          <w:numId w:val="3"/>
        </w:numPr>
        <w:rPr>
          <w:rFonts w:ascii="Arial" w:hAnsi="Arial" w:cs="Arial"/>
        </w:rPr>
      </w:pPr>
      <w:r w:rsidRPr="001A4DAE">
        <w:rPr>
          <w:rFonts w:ascii="Arial" w:hAnsi="Arial" w:cs="Arial"/>
        </w:rPr>
        <w:t xml:space="preserve">submit a </w:t>
      </w:r>
      <w:r w:rsidRPr="001A4DAE">
        <w:rPr>
          <w:rFonts w:ascii="Arial" w:hAnsi="Arial" w:cs="Arial"/>
          <w:b/>
          <w:bCs/>
        </w:rPr>
        <w:t>statement of accounts</w:t>
      </w:r>
      <w:r w:rsidRPr="001A4DAE">
        <w:rPr>
          <w:rFonts w:ascii="Arial" w:hAnsi="Arial" w:cs="Arial"/>
        </w:rPr>
        <w:t xml:space="preserve"> </w:t>
      </w:r>
      <w:r w:rsidR="000B6869">
        <w:rPr>
          <w:rFonts w:ascii="Arial" w:hAnsi="Arial" w:cs="Arial"/>
        </w:rPr>
        <w:t>included in that</w:t>
      </w:r>
      <w:r w:rsidRPr="001A4DAE">
        <w:rPr>
          <w:rFonts w:ascii="Arial" w:hAnsi="Arial" w:cs="Arial"/>
        </w:rPr>
        <w:t xml:space="preserve"> </w:t>
      </w:r>
      <w:hyperlink r:id="rId8" w:history="1">
        <w:r w:rsidRPr="000B6869">
          <w:rPr>
            <w:rStyle w:val="Hyperlink"/>
            <w:rFonts w:ascii="Arial" w:hAnsi="Arial" w:cs="Arial"/>
          </w:rPr>
          <w:t>form</w:t>
        </w:r>
      </w:hyperlink>
      <w:r w:rsidRPr="001A4DAE">
        <w:rPr>
          <w:rFonts w:ascii="Arial" w:hAnsi="Arial" w:cs="Arial"/>
        </w:rPr>
        <w:t>.</w:t>
      </w:r>
    </w:p>
    <w:p w14:paraId="56B27FFF" w14:textId="1C219E3C" w:rsidR="00FE07C1" w:rsidRPr="001A4DAE" w:rsidRDefault="00FE07C1" w:rsidP="00FE07C1">
      <w:pPr>
        <w:rPr>
          <w:rFonts w:ascii="Arial" w:hAnsi="Arial" w:cs="Arial"/>
        </w:rPr>
      </w:pPr>
      <w:r w:rsidRPr="001A4DAE">
        <w:rPr>
          <w:rFonts w:ascii="Arial" w:hAnsi="Arial" w:cs="Arial"/>
        </w:rPr>
        <w:t xml:space="preserve">A private administrator will always be required to submit a </w:t>
      </w:r>
      <w:hyperlink r:id="rId9" w:history="1">
        <w:r w:rsidRPr="000B6869">
          <w:rPr>
            <w:rStyle w:val="Hyperlink"/>
            <w:rFonts w:ascii="Arial" w:hAnsi="Arial" w:cs="Arial"/>
          </w:rPr>
          <w:t>report</w:t>
        </w:r>
      </w:hyperlink>
      <w:r w:rsidRPr="001A4DAE">
        <w:rPr>
          <w:rFonts w:ascii="Arial" w:hAnsi="Arial" w:cs="Arial"/>
        </w:rPr>
        <w:t xml:space="preserve"> in compliance with Section 66 at the end of each 12 months from the date of the order.</w:t>
      </w:r>
    </w:p>
    <w:p w14:paraId="55FE0A47" w14:textId="4A731103" w:rsidR="00CF368E" w:rsidRPr="001A4DAE" w:rsidRDefault="006B3E88" w:rsidP="00CF368E">
      <w:pPr>
        <w:rPr>
          <w:rFonts w:ascii="Arial" w:hAnsi="Arial" w:cs="Arial"/>
        </w:rPr>
      </w:pPr>
      <w:r w:rsidRPr="001A4DAE">
        <w:rPr>
          <w:rFonts w:ascii="Arial" w:hAnsi="Arial" w:cs="Arial"/>
        </w:rPr>
        <w:t>The Tribunal will examine these documents</w:t>
      </w:r>
      <w:r w:rsidR="00C04CE2" w:rsidRPr="001A4DAE">
        <w:rPr>
          <w:rFonts w:ascii="Arial" w:hAnsi="Arial" w:cs="Arial"/>
        </w:rPr>
        <w:t xml:space="preserve"> and </w:t>
      </w:r>
      <w:r w:rsidRPr="001A4DAE">
        <w:rPr>
          <w:rFonts w:ascii="Arial" w:hAnsi="Arial" w:cs="Arial"/>
        </w:rPr>
        <w:t xml:space="preserve">may determine that </w:t>
      </w:r>
      <w:r w:rsidR="009D4E57" w:rsidRPr="001A4DAE">
        <w:rPr>
          <w:rFonts w:ascii="Arial" w:hAnsi="Arial" w:cs="Arial"/>
        </w:rPr>
        <w:t xml:space="preserve">for the following 12 </w:t>
      </w:r>
      <w:r w:rsidR="00C04CE2" w:rsidRPr="001A4DAE">
        <w:rPr>
          <w:rFonts w:ascii="Arial" w:hAnsi="Arial" w:cs="Arial"/>
        </w:rPr>
        <w:t>months;</w:t>
      </w:r>
      <w:r w:rsidR="009D4E57" w:rsidRPr="001A4DAE">
        <w:rPr>
          <w:rFonts w:ascii="Arial" w:hAnsi="Arial" w:cs="Arial"/>
        </w:rPr>
        <w:t xml:space="preserve"> the private administrator may be permitted to complete a short form statement of accounts to comply with Section 63. </w:t>
      </w:r>
      <w:r w:rsidR="00CF368E" w:rsidRPr="001A4DAE">
        <w:rPr>
          <w:rFonts w:ascii="Arial" w:hAnsi="Arial" w:cs="Arial"/>
        </w:rPr>
        <w:t>The private administrator will be notified if this is allowed by the Tribunal</w:t>
      </w:r>
      <w:r w:rsidR="000B6869">
        <w:rPr>
          <w:rFonts w:ascii="Arial" w:hAnsi="Arial" w:cs="Arial"/>
        </w:rPr>
        <w:t xml:space="preserve"> and provided with the </w:t>
      </w:r>
      <w:r w:rsidR="00B6330C">
        <w:rPr>
          <w:rFonts w:ascii="Arial" w:hAnsi="Arial" w:cs="Arial"/>
        </w:rPr>
        <w:t>Short Form Report to complete</w:t>
      </w:r>
      <w:r w:rsidR="00CF368E" w:rsidRPr="001A4DAE">
        <w:rPr>
          <w:rFonts w:ascii="Arial" w:hAnsi="Arial" w:cs="Arial"/>
        </w:rPr>
        <w:t>.</w:t>
      </w:r>
    </w:p>
    <w:p w14:paraId="48163321" w14:textId="284FF780" w:rsidR="007845A9" w:rsidRPr="001A4DAE" w:rsidRDefault="00CF368E" w:rsidP="006B3E88">
      <w:pPr>
        <w:rPr>
          <w:rFonts w:ascii="Arial" w:hAnsi="Arial" w:cs="Arial"/>
        </w:rPr>
      </w:pPr>
      <w:r w:rsidRPr="001A4DAE">
        <w:rPr>
          <w:rFonts w:ascii="Arial" w:hAnsi="Arial" w:cs="Arial"/>
        </w:rPr>
        <w:t>A statement of accounts will be required for the 3</w:t>
      </w:r>
      <w:r w:rsidRPr="001A4DAE">
        <w:rPr>
          <w:rFonts w:ascii="Arial" w:hAnsi="Arial" w:cs="Arial"/>
          <w:vertAlign w:val="superscript"/>
        </w:rPr>
        <w:t>rd</w:t>
      </w:r>
      <w:r w:rsidRPr="001A4DAE">
        <w:rPr>
          <w:rFonts w:ascii="Arial" w:hAnsi="Arial" w:cs="Arial"/>
        </w:rPr>
        <w:t xml:space="preserve"> year of order.</w:t>
      </w:r>
    </w:p>
    <w:tbl>
      <w:tblPr>
        <w:tblStyle w:val="TableGrid"/>
        <w:tblW w:w="0" w:type="auto"/>
        <w:tblLook w:val="04A0" w:firstRow="1" w:lastRow="0" w:firstColumn="1" w:lastColumn="0" w:noHBand="0" w:noVBand="1"/>
      </w:tblPr>
      <w:tblGrid>
        <w:gridCol w:w="2122"/>
        <w:gridCol w:w="6894"/>
      </w:tblGrid>
      <w:tr w:rsidR="00472CD1" w:rsidRPr="001A4DAE" w14:paraId="220C3381" w14:textId="77777777" w:rsidTr="00591B8C">
        <w:tc>
          <w:tcPr>
            <w:tcW w:w="2122" w:type="dxa"/>
          </w:tcPr>
          <w:p w14:paraId="42445728" w14:textId="77777777" w:rsidR="00472CD1" w:rsidRPr="001A4DAE" w:rsidRDefault="00472CD1" w:rsidP="00591B8C">
            <w:pPr>
              <w:rPr>
                <w:rFonts w:ascii="Arial" w:hAnsi="Arial" w:cs="Arial"/>
                <w:b/>
                <w:bCs/>
              </w:rPr>
            </w:pPr>
            <w:r w:rsidRPr="001A4DAE">
              <w:rPr>
                <w:rFonts w:ascii="Arial" w:hAnsi="Arial" w:cs="Arial"/>
                <w:b/>
                <w:bCs/>
              </w:rPr>
              <w:t xml:space="preserve">Year </w:t>
            </w:r>
          </w:p>
        </w:tc>
        <w:tc>
          <w:tcPr>
            <w:tcW w:w="6894" w:type="dxa"/>
          </w:tcPr>
          <w:p w14:paraId="52D07458" w14:textId="77777777" w:rsidR="00472CD1" w:rsidRPr="001A4DAE" w:rsidRDefault="00472CD1" w:rsidP="00591B8C">
            <w:pPr>
              <w:rPr>
                <w:rFonts w:ascii="Arial" w:hAnsi="Arial" w:cs="Arial"/>
                <w:b/>
                <w:bCs/>
              </w:rPr>
            </w:pPr>
            <w:r w:rsidRPr="001A4DAE">
              <w:rPr>
                <w:rFonts w:ascii="Arial" w:hAnsi="Arial" w:cs="Arial"/>
                <w:b/>
                <w:bCs/>
              </w:rPr>
              <w:t>Requirements</w:t>
            </w:r>
          </w:p>
        </w:tc>
      </w:tr>
      <w:tr w:rsidR="00472CD1" w:rsidRPr="001A4DAE" w14:paraId="7478A80D" w14:textId="77777777" w:rsidTr="00591B8C">
        <w:tc>
          <w:tcPr>
            <w:tcW w:w="2122" w:type="dxa"/>
          </w:tcPr>
          <w:p w14:paraId="4920A60B" w14:textId="77777777" w:rsidR="00472CD1" w:rsidRPr="001A4DAE" w:rsidRDefault="00472CD1" w:rsidP="00591B8C">
            <w:pPr>
              <w:rPr>
                <w:rFonts w:ascii="Arial" w:hAnsi="Arial" w:cs="Arial"/>
              </w:rPr>
            </w:pPr>
            <w:r w:rsidRPr="001A4DAE">
              <w:rPr>
                <w:rFonts w:ascii="Arial" w:hAnsi="Arial" w:cs="Arial"/>
              </w:rPr>
              <w:t xml:space="preserve">Year One </w:t>
            </w:r>
          </w:p>
        </w:tc>
        <w:tc>
          <w:tcPr>
            <w:tcW w:w="6894" w:type="dxa"/>
          </w:tcPr>
          <w:p w14:paraId="048EC718" w14:textId="0463DAB5" w:rsidR="00472CD1" w:rsidRPr="001A4DAE" w:rsidRDefault="00472CD1" w:rsidP="00591B8C">
            <w:pPr>
              <w:rPr>
                <w:rFonts w:ascii="Arial" w:hAnsi="Arial" w:cs="Arial"/>
              </w:rPr>
            </w:pPr>
            <w:r w:rsidRPr="001A4DAE">
              <w:rPr>
                <w:rFonts w:ascii="Arial" w:hAnsi="Arial" w:cs="Arial"/>
              </w:rPr>
              <w:t>Report under Section 66; Statement of Accounts under Section 63</w:t>
            </w:r>
          </w:p>
        </w:tc>
      </w:tr>
      <w:tr w:rsidR="00472CD1" w:rsidRPr="001A4DAE" w14:paraId="2A283FAF" w14:textId="77777777" w:rsidTr="00591B8C">
        <w:tc>
          <w:tcPr>
            <w:tcW w:w="2122" w:type="dxa"/>
          </w:tcPr>
          <w:p w14:paraId="45DE9D2C" w14:textId="5AE174BB" w:rsidR="00472CD1" w:rsidRPr="001A4DAE" w:rsidRDefault="00472CD1" w:rsidP="00591B8C">
            <w:pPr>
              <w:rPr>
                <w:rFonts w:ascii="Arial" w:hAnsi="Arial" w:cs="Arial"/>
              </w:rPr>
            </w:pPr>
            <w:r w:rsidRPr="001A4DAE">
              <w:rPr>
                <w:rFonts w:ascii="Arial" w:hAnsi="Arial" w:cs="Arial"/>
              </w:rPr>
              <w:t>Year Two</w:t>
            </w:r>
          </w:p>
        </w:tc>
        <w:tc>
          <w:tcPr>
            <w:tcW w:w="6894" w:type="dxa"/>
          </w:tcPr>
          <w:p w14:paraId="084069D2" w14:textId="1264FD4C" w:rsidR="00472CD1" w:rsidRPr="001A4DAE" w:rsidRDefault="00472CD1" w:rsidP="00591B8C">
            <w:pPr>
              <w:rPr>
                <w:rFonts w:ascii="Arial" w:hAnsi="Arial" w:cs="Arial"/>
              </w:rPr>
            </w:pPr>
            <w:r w:rsidRPr="001A4DAE">
              <w:rPr>
                <w:rFonts w:ascii="Arial" w:hAnsi="Arial" w:cs="Arial"/>
              </w:rPr>
              <w:t>Report under Section 66; A Short Form Report (if authorised by the Tribunal) or a Statement of Accounts under Section 63</w:t>
            </w:r>
          </w:p>
        </w:tc>
      </w:tr>
      <w:tr w:rsidR="00472CD1" w:rsidRPr="001A4DAE" w14:paraId="4E89E76C" w14:textId="77777777" w:rsidTr="00591B8C">
        <w:tc>
          <w:tcPr>
            <w:tcW w:w="2122" w:type="dxa"/>
          </w:tcPr>
          <w:p w14:paraId="69E82367" w14:textId="3DEFE6B6" w:rsidR="00472CD1" w:rsidRPr="001A4DAE" w:rsidRDefault="00472CD1" w:rsidP="00591B8C">
            <w:pPr>
              <w:rPr>
                <w:rFonts w:ascii="Arial" w:hAnsi="Arial" w:cs="Arial"/>
              </w:rPr>
            </w:pPr>
            <w:r w:rsidRPr="001A4DAE">
              <w:rPr>
                <w:rFonts w:ascii="Arial" w:hAnsi="Arial" w:cs="Arial"/>
              </w:rPr>
              <w:t>Year Three</w:t>
            </w:r>
          </w:p>
        </w:tc>
        <w:tc>
          <w:tcPr>
            <w:tcW w:w="6894" w:type="dxa"/>
          </w:tcPr>
          <w:p w14:paraId="09A30881" w14:textId="4520E655" w:rsidR="00472CD1" w:rsidRPr="001A4DAE" w:rsidRDefault="00472CD1" w:rsidP="00591B8C">
            <w:pPr>
              <w:rPr>
                <w:rFonts w:ascii="Arial" w:hAnsi="Arial" w:cs="Arial"/>
              </w:rPr>
            </w:pPr>
            <w:r w:rsidRPr="001A4DAE">
              <w:rPr>
                <w:rFonts w:ascii="Arial" w:hAnsi="Arial" w:cs="Arial"/>
              </w:rPr>
              <w:t>Report under Section 66; Statement of Accounts under Section 63</w:t>
            </w:r>
          </w:p>
        </w:tc>
      </w:tr>
    </w:tbl>
    <w:p w14:paraId="18A188F3" w14:textId="77777777" w:rsidR="00023732" w:rsidRDefault="00023732" w:rsidP="00C428BD">
      <w:pPr>
        <w:pStyle w:val="Heading3"/>
        <w:rPr>
          <w:rFonts w:ascii="Arial" w:hAnsi="Arial" w:cs="Arial"/>
        </w:rPr>
      </w:pPr>
    </w:p>
    <w:p w14:paraId="58D29488" w14:textId="77777777" w:rsidR="00023732" w:rsidRDefault="00023732">
      <w:pPr>
        <w:spacing w:before="0" w:after="0"/>
        <w:rPr>
          <w:rFonts w:ascii="Arial" w:eastAsiaTheme="majorEastAsia" w:hAnsi="Arial" w:cs="Arial"/>
          <w:sz w:val="28"/>
          <w:szCs w:val="28"/>
        </w:rPr>
      </w:pPr>
      <w:r>
        <w:rPr>
          <w:rFonts w:ascii="Arial" w:hAnsi="Arial" w:cs="Arial"/>
        </w:rPr>
        <w:br w:type="page"/>
      </w:r>
    </w:p>
    <w:p w14:paraId="73FF90CC" w14:textId="080F94F8" w:rsidR="00F22B25" w:rsidRPr="001A4DAE" w:rsidRDefault="007845A9" w:rsidP="00C428BD">
      <w:pPr>
        <w:pStyle w:val="Heading3"/>
        <w:rPr>
          <w:rFonts w:ascii="Arial" w:hAnsi="Arial" w:cs="Arial"/>
        </w:rPr>
      </w:pPr>
      <w:r w:rsidRPr="001A4DAE">
        <w:rPr>
          <w:rFonts w:ascii="Arial" w:hAnsi="Arial" w:cs="Arial"/>
        </w:rPr>
        <w:lastRenderedPageBreak/>
        <w:t>The Public Trustee:</w:t>
      </w:r>
    </w:p>
    <w:p w14:paraId="35E12487" w14:textId="50C4C63A" w:rsidR="007845A9" w:rsidRPr="001A4DAE" w:rsidRDefault="00472CD1" w:rsidP="006523E3">
      <w:pPr>
        <w:rPr>
          <w:rFonts w:ascii="Arial" w:hAnsi="Arial" w:cs="Arial"/>
        </w:rPr>
      </w:pPr>
      <w:r w:rsidRPr="001A4DAE">
        <w:rPr>
          <w:rFonts w:ascii="Arial" w:hAnsi="Arial" w:cs="Arial"/>
        </w:rPr>
        <w:t xml:space="preserve">The Public Trustee is a statutory independent body which </w:t>
      </w:r>
      <w:r w:rsidR="000B28E7" w:rsidRPr="001A4DAE">
        <w:rPr>
          <w:rFonts w:ascii="Arial" w:hAnsi="Arial" w:cs="Arial"/>
        </w:rPr>
        <w:t xml:space="preserve">has </w:t>
      </w:r>
      <w:r w:rsidRPr="001A4DAE">
        <w:rPr>
          <w:rFonts w:ascii="Arial" w:hAnsi="Arial" w:cs="Arial"/>
        </w:rPr>
        <w:t>automatic standing to be appointed as an administrator by the Guardianship and Administration Act 1995.</w:t>
      </w:r>
      <w:r w:rsidR="00283BF8" w:rsidRPr="001A4DAE">
        <w:rPr>
          <w:rFonts w:ascii="Arial" w:hAnsi="Arial" w:cs="Arial"/>
        </w:rPr>
        <w:t xml:space="preserve"> </w:t>
      </w:r>
      <w:r w:rsidRPr="001A4DAE">
        <w:rPr>
          <w:rFonts w:ascii="Arial" w:hAnsi="Arial" w:cs="Arial"/>
        </w:rPr>
        <w:t>The</w:t>
      </w:r>
      <w:r w:rsidR="000B28E7" w:rsidRPr="001A4DAE">
        <w:rPr>
          <w:rFonts w:ascii="Arial" w:hAnsi="Arial" w:cs="Arial"/>
        </w:rPr>
        <w:t xml:space="preserve"> Public Trustee</w:t>
      </w:r>
      <w:r w:rsidR="00283BF8" w:rsidRPr="001A4DAE">
        <w:rPr>
          <w:rFonts w:ascii="Arial" w:hAnsi="Arial" w:cs="Arial"/>
        </w:rPr>
        <w:t xml:space="preserve"> </w:t>
      </w:r>
      <w:r w:rsidR="000B28E7" w:rsidRPr="001A4DAE">
        <w:rPr>
          <w:rFonts w:ascii="Arial" w:hAnsi="Arial" w:cs="Arial"/>
        </w:rPr>
        <w:t>is</w:t>
      </w:r>
      <w:r w:rsidRPr="001A4DAE">
        <w:rPr>
          <w:rFonts w:ascii="Arial" w:hAnsi="Arial" w:cs="Arial"/>
        </w:rPr>
        <w:t xml:space="preserve"> also deemed a Model Litigant by virtue of Common Law.</w:t>
      </w:r>
      <w:r w:rsidR="00283BF8" w:rsidRPr="001A4DAE">
        <w:rPr>
          <w:rFonts w:ascii="Arial" w:hAnsi="Arial" w:cs="Arial"/>
        </w:rPr>
        <w:t xml:space="preserve"> </w:t>
      </w:r>
      <w:r w:rsidR="00FE07C1" w:rsidRPr="001A4DAE">
        <w:rPr>
          <w:rFonts w:ascii="Arial" w:hAnsi="Arial" w:cs="Arial"/>
        </w:rPr>
        <w:t>A Model Litigant is required to comply with all legal requirements, assist any Court or Tribunal in meeting their legal requirements and act with honesty, probity and diligence in undertaking their role.</w:t>
      </w:r>
      <w:r w:rsidR="00283BF8" w:rsidRPr="001A4DAE">
        <w:rPr>
          <w:rFonts w:ascii="Arial" w:hAnsi="Arial" w:cs="Arial"/>
        </w:rPr>
        <w:t xml:space="preserve"> </w:t>
      </w:r>
      <w:r w:rsidRPr="001A4DAE">
        <w:rPr>
          <w:rFonts w:ascii="Arial" w:hAnsi="Arial" w:cs="Arial"/>
        </w:rPr>
        <w:t>They operate under expectations of automatic compliance with legislation and reporting obligations</w:t>
      </w:r>
      <w:r w:rsidR="000200FE" w:rsidRPr="001A4DAE">
        <w:rPr>
          <w:rFonts w:ascii="Arial" w:hAnsi="Arial" w:cs="Arial"/>
        </w:rPr>
        <w:t xml:space="preserve"> and of their core functions is acting as administrators under the Guardianship and Administration Act 1995</w:t>
      </w:r>
      <w:r w:rsidRPr="001A4DAE">
        <w:rPr>
          <w:rFonts w:ascii="Arial" w:hAnsi="Arial" w:cs="Arial"/>
        </w:rPr>
        <w:t>.</w:t>
      </w:r>
      <w:r w:rsidR="00283BF8" w:rsidRPr="001A4DAE">
        <w:rPr>
          <w:rFonts w:ascii="Arial" w:hAnsi="Arial" w:cs="Arial"/>
        </w:rPr>
        <w:t xml:space="preserve"> </w:t>
      </w:r>
      <w:r w:rsidR="00FE07C1" w:rsidRPr="001A4DAE">
        <w:rPr>
          <w:rFonts w:ascii="Arial" w:hAnsi="Arial" w:cs="Arial"/>
        </w:rPr>
        <w:t xml:space="preserve">The Public Trustee </w:t>
      </w:r>
      <w:r w:rsidR="00B2531A" w:rsidRPr="001A4DAE">
        <w:rPr>
          <w:rFonts w:ascii="Arial" w:hAnsi="Arial" w:cs="Arial"/>
        </w:rPr>
        <w:t>also undertakes its duties with indemnity protections under Section 72 of the Public Trustee Act 1930.</w:t>
      </w:r>
      <w:r w:rsidR="00283BF8" w:rsidRPr="001A4DAE">
        <w:rPr>
          <w:rFonts w:ascii="Arial" w:hAnsi="Arial" w:cs="Arial"/>
        </w:rPr>
        <w:t xml:space="preserve"> </w:t>
      </w:r>
      <w:r w:rsidRPr="001A4DAE">
        <w:rPr>
          <w:rFonts w:ascii="Arial" w:hAnsi="Arial" w:cs="Arial"/>
        </w:rPr>
        <w:t>Due to these considerations, the reporting requirements for the Public Trustee can be varied</w:t>
      </w:r>
      <w:r w:rsidR="00033985" w:rsidRPr="001A4DAE">
        <w:rPr>
          <w:rFonts w:ascii="Arial" w:hAnsi="Arial" w:cs="Arial"/>
        </w:rPr>
        <w:t xml:space="preserve"> by the </w:t>
      </w:r>
      <w:r w:rsidR="00FE07C1" w:rsidRPr="001A4DAE">
        <w:rPr>
          <w:rFonts w:ascii="Arial" w:hAnsi="Arial" w:cs="Arial"/>
        </w:rPr>
        <w:t>T</w:t>
      </w:r>
      <w:r w:rsidR="00033985" w:rsidRPr="001A4DAE">
        <w:rPr>
          <w:rFonts w:ascii="Arial" w:hAnsi="Arial" w:cs="Arial"/>
        </w:rPr>
        <w:t>ribunal</w:t>
      </w:r>
      <w:r w:rsidRPr="001A4DAE">
        <w:rPr>
          <w:rFonts w:ascii="Arial" w:hAnsi="Arial" w:cs="Arial"/>
        </w:rPr>
        <w:t>.</w:t>
      </w:r>
      <w:r w:rsidR="00283BF8" w:rsidRPr="001A4DAE">
        <w:rPr>
          <w:rFonts w:ascii="Arial" w:hAnsi="Arial" w:cs="Arial"/>
        </w:rPr>
        <w:t xml:space="preserve"> </w:t>
      </w:r>
    </w:p>
    <w:p w14:paraId="5248E3CA" w14:textId="236D25EF" w:rsidR="00B62A85" w:rsidRPr="001A4DAE" w:rsidRDefault="00B62A85" w:rsidP="00B62A85">
      <w:pPr>
        <w:rPr>
          <w:rFonts w:ascii="Arial" w:hAnsi="Arial" w:cs="Arial"/>
        </w:rPr>
      </w:pPr>
      <w:r w:rsidRPr="001A4DAE">
        <w:rPr>
          <w:rFonts w:ascii="Arial" w:hAnsi="Arial" w:cs="Arial"/>
        </w:rPr>
        <w:t xml:space="preserve">After 12 months, from the date </w:t>
      </w:r>
      <w:r w:rsidR="00472CD1" w:rsidRPr="001A4DAE">
        <w:rPr>
          <w:rFonts w:ascii="Arial" w:hAnsi="Arial" w:cs="Arial"/>
        </w:rPr>
        <w:t xml:space="preserve">that a </w:t>
      </w:r>
      <w:r w:rsidR="00472CD1" w:rsidRPr="001A4DAE">
        <w:rPr>
          <w:rFonts w:ascii="Arial" w:hAnsi="Arial" w:cs="Arial"/>
          <w:u w:val="single"/>
        </w:rPr>
        <w:t xml:space="preserve">new </w:t>
      </w:r>
      <w:r w:rsidRPr="001A4DAE">
        <w:rPr>
          <w:rFonts w:ascii="Arial" w:hAnsi="Arial" w:cs="Arial"/>
          <w:u w:val="single"/>
        </w:rPr>
        <w:t>administration order</w:t>
      </w:r>
      <w:r w:rsidRPr="001A4DAE">
        <w:rPr>
          <w:rFonts w:ascii="Arial" w:hAnsi="Arial" w:cs="Arial"/>
        </w:rPr>
        <w:t xml:space="preserve"> is made, the Public Trustee must:</w:t>
      </w:r>
    </w:p>
    <w:p w14:paraId="3542A36A" w14:textId="1931EBAC" w:rsidR="00B62A85" w:rsidRPr="00B6330C" w:rsidRDefault="00B62A85" w:rsidP="00B6330C">
      <w:pPr>
        <w:pStyle w:val="ListParagraph"/>
        <w:numPr>
          <w:ilvl w:val="0"/>
          <w:numId w:val="3"/>
        </w:numPr>
        <w:rPr>
          <w:rFonts w:ascii="Arial" w:hAnsi="Arial" w:cs="Arial"/>
        </w:rPr>
      </w:pPr>
      <w:r w:rsidRPr="001A4DAE">
        <w:rPr>
          <w:rFonts w:ascii="Arial" w:hAnsi="Arial" w:cs="Arial"/>
        </w:rPr>
        <w:t xml:space="preserve">submit a </w:t>
      </w:r>
      <w:r w:rsidRPr="00B6330C">
        <w:rPr>
          <w:rFonts w:ascii="Arial" w:hAnsi="Arial" w:cs="Arial"/>
          <w:b/>
          <w:bCs/>
        </w:rPr>
        <w:t>report</w:t>
      </w:r>
      <w:r w:rsidRPr="001A4DAE">
        <w:rPr>
          <w:rFonts w:ascii="Arial" w:hAnsi="Arial" w:cs="Arial"/>
        </w:rPr>
        <w:t xml:space="preserve"> as required by Section 66 </w:t>
      </w:r>
      <w:r w:rsidR="00B6330C" w:rsidRPr="001A4DAE">
        <w:rPr>
          <w:rFonts w:ascii="Arial" w:hAnsi="Arial" w:cs="Arial"/>
        </w:rPr>
        <w:t xml:space="preserve">by completing </w:t>
      </w:r>
      <w:r w:rsidR="00B6330C">
        <w:rPr>
          <w:rFonts w:ascii="Arial" w:hAnsi="Arial" w:cs="Arial"/>
        </w:rPr>
        <w:t xml:space="preserve">the </w:t>
      </w:r>
      <w:hyperlink r:id="rId10" w:history="1">
        <w:r w:rsidR="00B6330C" w:rsidRPr="00AD4013">
          <w:rPr>
            <w:rStyle w:val="Hyperlink"/>
            <w:rFonts w:ascii="Arial" w:hAnsi="Arial" w:cs="Arial"/>
          </w:rPr>
          <w:t>Administrator’s Annual Report form</w:t>
        </w:r>
      </w:hyperlink>
      <w:r w:rsidR="00B6330C" w:rsidRPr="001A4DAE">
        <w:rPr>
          <w:rFonts w:ascii="Arial" w:hAnsi="Arial" w:cs="Arial"/>
        </w:rPr>
        <w:t>.</w:t>
      </w:r>
    </w:p>
    <w:p w14:paraId="2DF7CC05" w14:textId="5449130D" w:rsidR="00B62A85" w:rsidRPr="001A4DAE" w:rsidRDefault="00F124D4" w:rsidP="00B62A85">
      <w:pPr>
        <w:pStyle w:val="ListParagraph"/>
        <w:numPr>
          <w:ilvl w:val="0"/>
          <w:numId w:val="3"/>
        </w:numPr>
        <w:rPr>
          <w:rFonts w:ascii="Arial" w:hAnsi="Arial" w:cs="Arial"/>
        </w:rPr>
      </w:pPr>
      <w:r w:rsidRPr="001A4DAE">
        <w:rPr>
          <w:rFonts w:ascii="Arial" w:hAnsi="Arial" w:cs="Arial"/>
        </w:rPr>
        <w:t xml:space="preserve">submit a statement of accounts as required by Section 63 </w:t>
      </w:r>
      <w:r w:rsidR="00B6330C">
        <w:rPr>
          <w:rFonts w:ascii="Arial" w:hAnsi="Arial" w:cs="Arial"/>
        </w:rPr>
        <w:t>included in that</w:t>
      </w:r>
      <w:r w:rsidR="00B6330C" w:rsidRPr="001A4DAE">
        <w:rPr>
          <w:rFonts w:ascii="Arial" w:hAnsi="Arial" w:cs="Arial"/>
        </w:rPr>
        <w:t xml:space="preserve"> </w:t>
      </w:r>
      <w:hyperlink r:id="rId11" w:history="1">
        <w:r w:rsidR="00B6330C" w:rsidRPr="000B6869">
          <w:rPr>
            <w:rStyle w:val="Hyperlink"/>
            <w:rFonts w:ascii="Arial" w:hAnsi="Arial" w:cs="Arial"/>
          </w:rPr>
          <w:t>form</w:t>
        </w:r>
      </w:hyperlink>
      <w:r w:rsidR="00B6330C" w:rsidRPr="001A4DAE">
        <w:rPr>
          <w:rFonts w:ascii="Arial" w:hAnsi="Arial" w:cs="Arial"/>
        </w:rPr>
        <w:t>.</w:t>
      </w:r>
    </w:p>
    <w:p w14:paraId="3EDAC60F" w14:textId="74CD697F" w:rsidR="00472CD1" w:rsidRPr="001A4DAE" w:rsidRDefault="00472CD1" w:rsidP="00F124D4">
      <w:pPr>
        <w:rPr>
          <w:rFonts w:ascii="Arial" w:hAnsi="Arial" w:cs="Arial"/>
        </w:rPr>
      </w:pPr>
      <w:r w:rsidRPr="001A4DAE">
        <w:rPr>
          <w:rFonts w:ascii="Arial" w:hAnsi="Arial" w:cs="Arial"/>
        </w:rPr>
        <w:t xml:space="preserve">For the second </w:t>
      </w:r>
      <w:r w:rsidR="00B6330C" w:rsidRPr="001A4DAE">
        <w:rPr>
          <w:rFonts w:ascii="Arial" w:hAnsi="Arial" w:cs="Arial"/>
        </w:rPr>
        <w:t>12-month</w:t>
      </w:r>
      <w:r w:rsidRPr="001A4DAE">
        <w:rPr>
          <w:rFonts w:ascii="Arial" w:hAnsi="Arial" w:cs="Arial"/>
        </w:rPr>
        <w:t xml:space="preserve"> period of an order</w:t>
      </w:r>
      <w:r w:rsidR="00211A4D" w:rsidRPr="001A4DAE">
        <w:rPr>
          <w:rFonts w:ascii="Arial" w:hAnsi="Arial" w:cs="Arial"/>
        </w:rPr>
        <w:t xml:space="preserve"> </w:t>
      </w:r>
      <w:r w:rsidR="0082352B" w:rsidRPr="001A4DAE">
        <w:rPr>
          <w:rFonts w:ascii="Arial" w:hAnsi="Arial" w:cs="Arial"/>
        </w:rPr>
        <w:t>(unless the order is for a period of less than 3 years)</w:t>
      </w:r>
      <w:r w:rsidRPr="001A4DAE">
        <w:rPr>
          <w:rFonts w:ascii="Arial" w:hAnsi="Arial" w:cs="Arial"/>
        </w:rPr>
        <w:t>, the Public Trustee is permitted to submit a short form report.</w:t>
      </w:r>
      <w:r w:rsidR="00033985" w:rsidRPr="001A4DAE">
        <w:rPr>
          <w:rFonts w:ascii="Arial" w:hAnsi="Arial" w:cs="Arial"/>
        </w:rPr>
        <w:t xml:space="preserve"> </w:t>
      </w:r>
    </w:p>
    <w:p w14:paraId="04D2B365" w14:textId="4775F793" w:rsidR="00472CD1" w:rsidRPr="001A4DAE" w:rsidRDefault="00472CD1" w:rsidP="00F124D4">
      <w:pPr>
        <w:rPr>
          <w:rFonts w:ascii="Arial" w:hAnsi="Arial" w:cs="Arial"/>
        </w:rPr>
      </w:pPr>
      <w:r w:rsidRPr="001A4DAE">
        <w:rPr>
          <w:rFonts w:ascii="Arial" w:hAnsi="Arial" w:cs="Arial"/>
        </w:rPr>
        <w:t xml:space="preserve">For the third 12 months period of an order, the Public Trustee must submit the same reports as for the first </w:t>
      </w:r>
      <w:r w:rsidR="00B6330C" w:rsidRPr="001A4DAE">
        <w:rPr>
          <w:rFonts w:ascii="Arial" w:hAnsi="Arial" w:cs="Arial"/>
        </w:rPr>
        <w:t>12-month</w:t>
      </w:r>
      <w:r w:rsidRPr="001A4DAE">
        <w:rPr>
          <w:rFonts w:ascii="Arial" w:hAnsi="Arial" w:cs="Arial"/>
        </w:rPr>
        <w:t xml:space="preserve"> period.</w:t>
      </w:r>
    </w:p>
    <w:p w14:paraId="1881CC64" w14:textId="2CBB7A57" w:rsidR="0082352B" w:rsidRPr="001A4DAE" w:rsidRDefault="00C66266" w:rsidP="00F124D4">
      <w:pPr>
        <w:rPr>
          <w:rFonts w:ascii="Arial" w:hAnsi="Arial" w:cs="Arial"/>
        </w:rPr>
      </w:pPr>
      <w:r w:rsidRPr="001A4DAE">
        <w:rPr>
          <w:rFonts w:ascii="Arial" w:hAnsi="Arial" w:cs="Arial"/>
        </w:rPr>
        <w:t>For orders made for a</w:t>
      </w:r>
      <w:r w:rsidR="0082352B" w:rsidRPr="001A4DAE">
        <w:rPr>
          <w:rFonts w:ascii="Arial" w:hAnsi="Arial" w:cs="Arial"/>
        </w:rPr>
        <w:t xml:space="preserve"> period</w:t>
      </w:r>
      <w:r w:rsidR="00283BF8" w:rsidRPr="001A4DAE">
        <w:rPr>
          <w:rFonts w:ascii="Arial" w:hAnsi="Arial" w:cs="Arial"/>
        </w:rPr>
        <w:t xml:space="preserve"> </w:t>
      </w:r>
      <w:r w:rsidRPr="001A4DAE">
        <w:rPr>
          <w:rFonts w:ascii="Arial" w:hAnsi="Arial" w:cs="Arial"/>
        </w:rPr>
        <w:t xml:space="preserve">of less than three years, </w:t>
      </w:r>
      <w:r w:rsidR="002A5090" w:rsidRPr="001A4DAE">
        <w:rPr>
          <w:rFonts w:ascii="Arial" w:hAnsi="Arial" w:cs="Arial"/>
        </w:rPr>
        <w:t>a</w:t>
      </w:r>
      <w:r w:rsidR="00256B9C" w:rsidRPr="001A4DAE">
        <w:rPr>
          <w:rFonts w:ascii="Arial" w:hAnsi="Arial" w:cs="Arial"/>
        </w:rPr>
        <w:t xml:space="preserve"> </w:t>
      </w:r>
      <w:r w:rsidR="002A5090" w:rsidRPr="001A4DAE">
        <w:rPr>
          <w:rFonts w:ascii="Arial" w:hAnsi="Arial" w:cs="Arial"/>
        </w:rPr>
        <w:t>s</w:t>
      </w:r>
      <w:r w:rsidR="00256B9C" w:rsidRPr="001A4DAE">
        <w:rPr>
          <w:rFonts w:ascii="Arial" w:hAnsi="Arial" w:cs="Arial"/>
        </w:rPr>
        <w:t xml:space="preserve">tatement of </w:t>
      </w:r>
      <w:r w:rsidR="002A5090" w:rsidRPr="001A4DAE">
        <w:rPr>
          <w:rFonts w:ascii="Arial" w:hAnsi="Arial" w:cs="Arial"/>
        </w:rPr>
        <w:t>a</w:t>
      </w:r>
      <w:r w:rsidR="00256B9C" w:rsidRPr="001A4DAE">
        <w:rPr>
          <w:rFonts w:ascii="Arial" w:hAnsi="Arial" w:cs="Arial"/>
        </w:rPr>
        <w:t>ccounts under Section 63 will be required for the final year of the order.</w:t>
      </w:r>
      <w:r w:rsidR="0082352B" w:rsidRPr="001A4DAE">
        <w:rPr>
          <w:rFonts w:ascii="Arial" w:hAnsi="Arial" w:cs="Arial"/>
        </w:rPr>
        <w:t xml:space="preserve"> </w:t>
      </w:r>
    </w:p>
    <w:p w14:paraId="229B2091" w14:textId="6E0319A4" w:rsidR="00472CD1" w:rsidRPr="001A4DAE" w:rsidRDefault="00F124D4" w:rsidP="00F124D4">
      <w:pPr>
        <w:rPr>
          <w:rFonts w:ascii="Arial" w:hAnsi="Arial" w:cs="Arial"/>
        </w:rPr>
      </w:pPr>
      <w:r w:rsidRPr="001A4DAE">
        <w:rPr>
          <w:rFonts w:ascii="Arial" w:hAnsi="Arial" w:cs="Arial"/>
        </w:rPr>
        <w:t>Where an administration order has been renewed for a represented person and the Public Trustee is re-appointed, the Public Trustee</w:t>
      </w:r>
      <w:r w:rsidR="00472CD1" w:rsidRPr="001A4DAE">
        <w:rPr>
          <w:rFonts w:ascii="Arial" w:hAnsi="Arial" w:cs="Arial"/>
        </w:rPr>
        <w:t xml:space="preserve"> must:</w:t>
      </w:r>
    </w:p>
    <w:p w14:paraId="42D30BD7" w14:textId="44DF3D5D" w:rsidR="00472CD1" w:rsidRPr="001A4DAE" w:rsidRDefault="00472CD1" w:rsidP="00472CD1">
      <w:pPr>
        <w:pStyle w:val="ListParagraph"/>
        <w:numPr>
          <w:ilvl w:val="0"/>
          <w:numId w:val="3"/>
        </w:numPr>
        <w:rPr>
          <w:rFonts w:ascii="Arial" w:hAnsi="Arial" w:cs="Arial"/>
        </w:rPr>
      </w:pPr>
      <w:r w:rsidRPr="001A4DAE">
        <w:rPr>
          <w:rFonts w:ascii="Arial" w:hAnsi="Arial" w:cs="Arial"/>
        </w:rPr>
        <w:t>submit a report as required by Section 66 by completing form each 12-month period</w:t>
      </w:r>
    </w:p>
    <w:p w14:paraId="21AA5DCA" w14:textId="0014212D" w:rsidR="00283BF8" w:rsidRPr="001A4DAE" w:rsidRDefault="00472CD1" w:rsidP="00472CD1">
      <w:pPr>
        <w:pStyle w:val="ListParagraph"/>
        <w:numPr>
          <w:ilvl w:val="0"/>
          <w:numId w:val="3"/>
        </w:numPr>
        <w:rPr>
          <w:rFonts w:ascii="Arial" w:hAnsi="Arial" w:cs="Arial"/>
        </w:rPr>
      </w:pPr>
      <w:r w:rsidRPr="001A4DAE">
        <w:rPr>
          <w:rFonts w:ascii="Arial" w:hAnsi="Arial" w:cs="Arial"/>
        </w:rPr>
        <w:t>submit a statement of accounts only for the final 12-month period of the order.</w:t>
      </w:r>
    </w:p>
    <w:p w14:paraId="4F7CC165" w14:textId="2B9E6E56" w:rsidR="00023732" w:rsidRDefault="00023732">
      <w:pPr>
        <w:spacing w:before="0" w:after="0"/>
        <w:rPr>
          <w:rFonts w:ascii="Arial" w:hAnsi="Arial" w:cs="Arial"/>
        </w:rPr>
      </w:pPr>
      <w:r>
        <w:rPr>
          <w:rFonts w:ascii="Arial" w:hAnsi="Arial" w:cs="Arial"/>
        </w:rPr>
        <w:br w:type="page"/>
      </w:r>
    </w:p>
    <w:p w14:paraId="77FBADFC" w14:textId="77777777" w:rsidR="00472CD1" w:rsidRPr="001A4DAE" w:rsidRDefault="00472CD1" w:rsidP="00283BF8">
      <w:pPr>
        <w:pStyle w:val="ListParagraph"/>
        <w:rPr>
          <w:rFonts w:ascii="Arial" w:hAnsi="Arial" w:cs="Arial"/>
        </w:rPr>
      </w:pPr>
    </w:p>
    <w:tbl>
      <w:tblPr>
        <w:tblStyle w:val="TableGrid"/>
        <w:tblW w:w="0" w:type="auto"/>
        <w:tblLook w:val="04A0" w:firstRow="1" w:lastRow="0" w:firstColumn="1" w:lastColumn="0" w:noHBand="0" w:noVBand="1"/>
      </w:tblPr>
      <w:tblGrid>
        <w:gridCol w:w="2122"/>
        <w:gridCol w:w="6894"/>
      </w:tblGrid>
      <w:tr w:rsidR="00472CD1" w:rsidRPr="001A4DAE" w14:paraId="11E83294" w14:textId="77777777" w:rsidTr="00591B8C">
        <w:tc>
          <w:tcPr>
            <w:tcW w:w="2122" w:type="dxa"/>
          </w:tcPr>
          <w:p w14:paraId="218D0224" w14:textId="77777777" w:rsidR="00472CD1" w:rsidRPr="001A4DAE" w:rsidRDefault="00472CD1" w:rsidP="00591B8C">
            <w:pPr>
              <w:rPr>
                <w:rFonts w:ascii="Arial" w:hAnsi="Arial" w:cs="Arial"/>
                <w:b/>
                <w:bCs/>
              </w:rPr>
            </w:pPr>
            <w:r w:rsidRPr="001A4DAE">
              <w:rPr>
                <w:rFonts w:ascii="Arial" w:hAnsi="Arial" w:cs="Arial"/>
                <w:b/>
                <w:bCs/>
              </w:rPr>
              <w:t xml:space="preserve">Year </w:t>
            </w:r>
          </w:p>
        </w:tc>
        <w:tc>
          <w:tcPr>
            <w:tcW w:w="6894" w:type="dxa"/>
          </w:tcPr>
          <w:p w14:paraId="3997DC38" w14:textId="1B3E88CA" w:rsidR="00472CD1" w:rsidRPr="001A4DAE" w:rsidRDefault="00472CD1" w:rsidP="00591B8C">
            <w:pPr>
              <w:rPr>
                <w:rFonts w:ascii="Arial" w:hAnsi="Arial" w:cs="Arial"/>
                <w:b/>
                <w:bCs/>
              </w:rPr>
            </w:pPr>
            <w:r w:rsidRPr="001A4DAE">
              <w:rPr>
                <w:rFonts w:ascii="Arial" w:hAnsi="Arial" w:cs="Arial"/>
                <w:b/>
                <w:bCs/>
              </w:rPr>
              <w:t>Requirements for NEW ADMINISTRATION ORDER</w:t>
            </w:r>
          </w:p>
        </w:tc>
      </w:tr>
      <w:tr w:rsidR="00472CD1" w:rsidRPr="001A4DAE" w14:paraId="7ACADD3A" w14:textId="77777777" w:rsidTr="00591B8C">
        <w:tc>
          <w:tcPr>
            <w:tcW w:w="2122" w:type="dxa"/>
          </w:tcPr>
          <w:p w14:paraId="13E91044" w14:textId="77777777" w:rsidR="00472CD1" w:rsidRPr="001A4DAE" w:rsidRDefault="00472CD1" w:rsidP="00591B8C">
            <w:pPr>
              <w:rPr>
                <w:rFonts w:ascii="Arial" w:hAnsi="Arial" w:cs="Arial"/>
              </w:rPr>
            </w:pPr>
            <w:r w:rsidRPr="001A4DAE">
              <w:rPr>
                <w:rFonts w:ascii="Arial" w:hAnsi="Arial" w:cs="Arial"/>
              </w:rPr>
              <w:t xml:space="preserve">Year One </w:t>
            </w:r>
          </w:p>
        </w:tc>
        <w:tc>
          <w:tcPr>
            <w:tcW w:w="6894" w:type="dxa"/>
          </w:tcPr>
          <w:p w14:paraId="6F21B287" w14:textId="77777777" w:rsidR="00472CD1" w:rsidRPr="001A4DAE" w:rsidRDefault="00472CD1" w:rsidP="00591B8C">
            <w:pPr>
              <w:rPr>
                <w:rFonts w:ascii="Arial" w:hAnsi="Arial" w:cs="Arial"/>
              </w:rPr>
            </w:pPr>
            <w:r w:rsidRPr="001A4DAE">
              <w:rPr>
                <w:rFonts w:ascii="Arial" w:hAnsi="Arial" w:cs="Arial"/>
              </w:rPr>
              <w:t>Report under Section 66; Statement of Accounts under Section 63</w:t>
            </w:r>
          </w:p>
        </w:tc>
      </w:tr>
      <w:tr w:rsidR="00472CD1" w:rsidRPr="001A4DAE" w14:paraId="45474801" w14:textId="77777777" w:rsidTr="00591B8C">
        <w:tc>
          <w:tcPr>
            <w:tcW w:w="2122" w:type="dxa"/>
          </w:tcPr>
          <w:p w14:paraId="5395E165" w14:textId="77777777" w:rsidR="00472CD1" w:rsidRPr="001A4DAE" w:rsidRDefault="00472CD1" w:rsidP="00591B8C">
            <w:pPr>
              <w:rPr>
                <w:rFonts w:ascii="Arial" w:hAnsi="Arial" w:cs="Arial"/>
              </w:rPr>
            </w:pPr>
            <w:r w:rsidRPr="001A4DAE">
              <w:rPr>
                <w:rFonts w:ascii="Arial" w:hAnsi="Arial" w:cs="Arial"/>
              </w:rPr>
              <w:t>Year Two</w:t>
            </w:r>
          </w:p>
        </w:tc>
        <w:tc>
          <w:tcPr>
            <w:tcW w:w="6894" w:type="dxa"/>
          </w:tcPr>
          <w:p w14:paraId="37F4CC1D" w14:textId="77777777" w:rsidR="00472CD1" w:rsidRPr="001A4DAE" w:rsidRDefault="00472CD1" w:rsidP="00591B8C">
            <w:pPr>
              <w:rPr>
                <w:rFonts w:ascii="Arial" w:hAnsi="Arial" w:cs="Arial"/>
              </w:rPr>
            </w:pPr>
            <w:r w:rsidRPr="001A4DAE">
              <w:rPr>
                <w:rFonts w:ascii="Arial" w:hAnsi="Arial" w:cs="Arial"/>
              </w:rPr>
              <w:t>Report under Section 66; A Short Form Report (if authorised by the Tribunal) or a Statement of Accounts under Section 63</w:t>
            </w:r>
          </w:p>
        </w:tc>
      </w:tr>
      <w:tr w:rsidR="00472CD1" w:rsidRPr="001A4DAE" w14:paraId="6696223D" w14:textId="77777777" w:rsidTr="00591B8C">
        <w:tc>
          <w:tcPr>
            <w:tcW w:w="2122" w:type="dxa"/>
          </w:tcPr>
          <w:p w14:paraId="5AA2358A" w14:textId="77777777" w:rsidR="00472CD1" w:rsidRPr="001A4DAE" w:rsidRDefault="00472CD1" w:rsidP="00591B8C">
            <w:pPr>
              <w:rPr>
                <w:rFonts w:ascii="Arial" w:hAnsi="Arial" w:cs="Arial"/>
              </w:rPr>
            </w:pPr>
            <w:r w:rsidRPr="001A4DAE">
              <w:rPr>
                <w:rFonts w:ascii="Arial" w:hAnsi="Arial" w:cs="Arial"/>
              </w:rPr>
              <w:t>Year Three</w:t>
            </w:r>
          </w:p>
        </w:tc>
        <w:tc>
          <w:tcPr>
            <w:tcW w:w="6894" w:type="dxa"/>
          </w:tcPr>
          <w:p w14:paraId="1BECCD8C" w14:textId="77777777" w:rsidR="00472CD1" w:rsidRPr="001A4DAE" w:rsidRDefault="00472CD1" w:rsidP="00591B8C">
            <w:pPr>
              <w:rPr>
                <w:rFonts w:ascii="Arial" w:hAnsi="Arial" w:cs="Arial"/>
              </w:rPr>
            </w:pPr>
            <w:r w:rsidRPr="001A4DAE">
              <w:rPr>
                <w:rFonts w:ascii="Arial" w:hAnsi="Arial" w:cs="Arial"/>
              </w:rPr>
              <w:t>Report under Section 66; Statement of Accounts under Section 63</w:t>
            </w:r>
          </w:p>
        </w:tc>
      </w:tr>
    </w:tbl>
    <w:p w14:paraId="6C0ABD1E" w14:textId="77777777" w:rsidR="002E6274" w:rsidRPr="001A4DAE" w:rsidRDefault="002E6274" w:rsidP="006523E3">
      <w:pPr>
        <w:rPr>
          <w:rFonts w:ascii="Arial" w:hAnsi="Arial" w:cs="Arial"/>
        </w:rPr>
      </w:pPr>
    </w:p>
    <w:tbl>
      <w:tblPr>
        <w:tblStyle w:val="TableGrid"/>
        <w:tblW w:w="0" w:type="auto"/>
        <w:tblLook w:val="04A0" w:firstRow="1" w:lastRow="0" w:firstColumn="1" w:lastColumn="0" w:noHBand="0" w:noVBand="1"/>
      </w:tblPr>
      <w:tblGrid>
        <w:gridCol w:w="2122"/>
        <w:gridCol w:w="6894"/>
      </w:tblGrid>
      <w:tr w:rsidR="00472CD1" w:rsidRPr="001A4DAE" w14:paraId="3A696D99" w14:textId="77777777" w:rsidTr="00591B8C">
        <w:tc>
          <w:tcPr>
            <w:tcW w:w="2122" w:type="dxa"/>
          </w:tcPr>
          <w:p w14:paraId="3BB5E369" w14:textId="77777777" w:rsidR="00472CD1" w:rsidRPr="001A4DAE" w:rsidRDefault="00472CD1" w:rsidP="00591B8C">
            <w:pPr>
              <w:rPr>
                <w:rFonts w:ascii="Arial" w:hAnsi="Arial" w:cs="Arial"/>
                <w:b/>
                <w:bCs/>
              </w:rPr>
            </w:pPr>
            <w:r w:rsidRPr="001A4DAE">
              <w:rPr>
                <w:rFonts w:ascii="Arial" w:hAnsi="Arial" w:cs="Arial"/>
                <w:b/>
                <w:bCs/>
              </w:rPr>
              <w:t xml:space="preserve">Year </w:t>
            </w:r>
          </w:p>
        </w:tc>
        <w:tc>
          <w:tcPr>
            <w:tcW w:w="6894" w:type="dxa"/>
          </w:tcPr>
          <w:p w14:paraId="4BE20F15" w14:textId="62AE5A63" w:rsidR="00472CD1" w:rsidRPr="001A4DAE" w:rsidRDefault="00472CD1" w:rsidP="00591B8C">
            <w:pPr>
              <w:rPr>
                <w:rFonts w:ascii="Arial" w:hAnsi="Arial" w:cs="Arial"/>
                <w:b/>
                <w:bCs/>
              </w:rPr>
            </w:pPr>
            <w:r w:rsidRPr="001A4DAE">
              <w:rPr>
                <w:rFonts w:ascii="Arial" w:hAnsi="Arial" w:cs="Arial"/>
                <w:b/>
                <w:bCs/>
              </w:rPr>
              <w:t>Requirements for RENEWED ADMINISTRATION ORDER</w:t>
            </w:r>
          </w:p>
        </w:tc>
      </w:tr>
      <w:tr w:rsidR="00472CD1" w:rsidRPr="001A4DAE" w14:paraId="7E31DAC3" w14:textId="77777777" w:rsidTr="00591B8C">
        <w:tc>
          <w:tcPr>
            <w:tcW w:w="2122" w:type="dxa"/>
          </w:tcPr>
          <w:p w14:paraId="799E5FAB" w14:textId="77777777" w:rsidR="00472CD1" w:rsidRPr="001A4DAE" w:rsidRDefault="00472CD1" w:rsidP="00591B8C">
            <w:pPr>
              <w:rPr>
                <w:rFonts w:ascii="Arial" w:hAnsi="Arial" w:cs="Arial"/>
              </w:rPr>
            </w:pPr>
            <w:r w:rsidRPr="001A4DAE">
              <w:rPr>
                <w:rFonts w:ascii="Arial" w:hAnsi="Arial" w:cs="Arial"/>
              </w:rPr>
              <w:t xml:space="preserve">Year One </w:t>
            </w:r>
          </w:p>
        </w:tc>
        <w:tc>
          <w:tcPr>
            <w:tcW w:w="6894" w:type="dxa"/>
          </w:tcPr>
          <w:p w14:paraId="4BC92233" w14:textId="55CE8385" w:rsidR="00472CD1" w:rsidRPr="001A4DAE" w:rsidRDefault="00472CD1" w:rsidP="00591B8C">
            <w:pPr>
              <w:rPr>
                <w:rFonts w:ascii="Arial" w:hAnsi="Arial" w:cs="Arial"/>
              </w:rPr>
            </w:pPr>
            <w:r w:rsidRPr="001A4DAE">
              <w:rPr>
                <w:rFonts w:ascii="Arial" w:hAnsi="Arial" w:cs="Arial"/>
              </w:rPr>
              <w:t xml:space="preserve">Report under Section 66; </w:t>
            </w:r>
          </w:p>
        </w:tc>
      </w:tr>
      <w:tr w:rsidR="00472CD1" w:rsidRPr="001A4DAE" w14:paraId="6539ABAA" w14:textId="77777777" w:rsidTr="00591B8C">
        <w:tc>
          <w:tcPr>
            <w:tcW w:w="2122" w:type="dxa"/>
          </w:tcPr>
          <w:p w14:paraId="59A25BAE" w14:textId="77777777" w:rsidR="00472CD1" w:rsidRPr="001A4DAE" w:rsidRDefault="00472CD1" w:rsidP="00591B8C">
            <w:pPr>
              <w:rPr>
                <w:rFonts w:ascii="Arial" w:hAnsi="Arial" w:cs="Arial"/>
              </w:rPr>
            </w:pPr>
            <w:r w:rsidRPr="001A4DAE">
              <w:rPr>
                <w:rFonts w:ascii="Arial" w:hAnsi="Arial" w:cs="Arial"/>
              </w:rPr>
              <w:t>Year Two</w:t>
            </w:r>
          </w:p>
        </w:tc>
        <w:tc>
          <w:tcPr>
            <w:tcW w:w="6894" w:type="dxa"/>
          </w:tcPr>
          <w:p w14:paraId="44A41154" w14:textId="6E98734F" w:rsidR="00472CD1" w:rsidRPr="001A4DAE" w:rsidRDefault="00472CD1" w:rsidP="00591B8C">
            <w:pPr>
              <w:rPr>
                <w:rFonts w:ascii="Arial" w:hAnsi="Arial" w:cs="Arial"/>
              </w:rPr>
            </w:pPr>
            <w:r w:rsidRPr="001A4DAE">
              <w:rPr>
                <w:rFonts w:ascii="Arial" w:hAnsi="Arial" w:cs="Arial"/>
              </w:rPr>
              <w:t xml:space="preserve">Report under Section 66; </w:t>
            </w:r>
          </w:p>
        </w:tc>
      </w:tr>
      <w:tr w:rsidR="00472CD1" w:rsidRPr="001A4DAE" w14:paraId="3F2D3D1B" w14:textId="77777777" w:rsidTr="00591B8C">
        <w:tc>
          <w:tcPr>
            <w:tcW w:w="2122" w:type="dxa"/>
          </w:tcPr>
          <w:p w14:paraId="707B8507" w14:textId="77777777" w:rsidR="00472CD1" w:rsidRPr="001A4DAE" w:rsidRDefault="00472CD1" w:rsidP="00591B8C">
            <w:pPr>
              <w:rPr>
                <w:rFonts w:ascii="Arial" w:hAnsi="Arial" w:cs="Arial"/>
              </w:rPr>
            </w:pPr>
            <w:r w:rsidRPr="001A4DAE">
              <w:rPr>
                <w:rFonts w:ascii="Arial" w:hAnsi="Arial" w:cs="Arial"/>
              </w:rPr>
              <w:t>Year Three</w:t>
            </w:r>
          </w:p>
        </w:tc>
        <w:tc>
          <w:tcPr>
            <w:tcW w:w="6894" w:type="dxa"/>
          </w:tcPr>
          <w:p w14:paraId="4DAB4970" w14:textId="77777777" w:rsidR="00472CD1" w:rsidRPr="001A4DAE" w:rsidRDefault="00472CD1" w:rsidP="00591B8C">
            <w:pPr>
              <w:rPr>
                <w:rFonts w:ascii="Arial" w:hAnsi="Arial" w:cs="Arial"/>
              </w:rPr>
            </w:pPr>
            <w:r w:rsidRPr="001A4DAE">
              <w:rPr>
                <w:rFonts w:ascii="Arial" w:hAnsi="Arial" w:cs="Arial"/>
              </w:rPr>
              <w:t>Report under Section 66; Statement of Accounts under Section 63</w:t>
            </w:r>
          </w:p>
        </w:tc>
      </w:tr>
    </w:tbl>
    <w:p w14:paraId="6CAF09BC" w14:textId="77777777" w:rsidR="00023732" w:rsidRDefault="00023732" w:rsidP="006523E3">
      <w:pPr>
        <w:rPr>
          <w:rFonts w:ascii="Arial" w:hAnsi="Arial" w:cs="Arial"/>
          <w:b/>
          <w:bCs/>
        </w:rPr>
      </w:pPr>
    </w:p>
    <w:p w14:paraId="5ADB56D1" w14:textId="77777777" w:rsidR="00023732" w:rsidRDefault="00023732">
      <w:pPr>
        <w:spacing w:before="0" w:after="0"/>
        <w:rPr>
          <w:rFonts w:ascii="Arial" w:hAnsi="Arial" w:cs="Arial"/>
          <w:b/>
          <w:bCs/>
        </w:rPr>
      </w:pPr>
      <w:r>
        <w:rPr>
          <w:rFonts w:ascii="Arial" w:hAnsi="Arial" w:cs="Arial"/>
          <w:b/>
          <w:bCs/>
        </w:rPr>
        <w:br w:type="page"/>
      </w:r>
    </w:p>
    <w:p w14:paraId="26C88AEA" w14:textId="12156BF5" w:rsidR="00FB2975" w:rsidRPr="001A4DAE" w:rsidRDefault="00FB2975" w:rsidP="006523E3">
      <w:pPr>
        <w:rPr>
          <w:rFonts w:ascii="Arial" w:hAnsi="Arial" w:cs="Arial"/>
          <w:b/>
          <w:bCs/>
        </w:rPr>
      </w:pPr>
      <w:r w:rsidRPr="001A4DAE">
        <w:rPr>
          <w:rFonts w:ascii="Arial" w:hAnsi="Arial" w:cs="Arial"/>
          <w:b/>
          <w:bCs/>
        </w:rPr>
        <w:lastRenderedPageBreak/>
        <w:t>APPENDIX A:</w:t>
      </w:r>
    </w:p>
    <w:p w14:paraId="0CF62D78" w14:textId="563ABF45" w:rsidR="006A0D35" w:rsidRPr="001A4DAE" w:rsidRDefault="00D62602" w:rsidP="006523E3">
      <w:pPr>
        <w:rPr>
          <w:rFonts w:ascii="Arial" w:hAnsi="Arial" w:cs="Arial"/>
          <w:b/>
          <w:bCs/>
        </w:rPr>
      </w:pPr>
      <w:r w:rsidRPr="001A4DAE">
        <w:rPr>
          <w:rFonts w:ascii="Arial" w:hAnsi="Arial" w:cs="Arial"/>
          <w:b/>
          <w:bCs/>
        </w:rPr>
        <w:t>Section 63 of the Guardianship and Administration Act 1995:</w:t>
      </w:r>
    </w:p>
    <w:p w14:paraId="39039573" w14:textId="19C81E22" w:rsidR="00D62602" w:rsidRPr="001A4DAE" w:rsidRDefault="00D62602" w:rsidP="00211A4D">
      <w:pPr>
        <w:tabs>
          <w:tab w:val="left" w:pos="567"/>
        </w:tabs>
        <w:rPr>
          <w:rFonts w:ascii="Arial" w:hAnsi="Arial" w:cs="Arial"/>
          <w:i/>
          <w:iCs/>
        </w:rPr>
      </w:pPr>
      <w:r w:rsidRPr="001A4DAE">
        <w:rPr>
          <w:rFonts w:ascii="Arial" w:hAnsi="Arial" w:cs="Arial"/>
          <w:b/>
          <w:bCs/>
          <w:i/>
          <w:iCs/>
        </w:rPr>
        <w:t>63.</w:t>
      </w:r>
      <w:r w:rsidR="00211A4D" w:rsidRPr="001A4DAE">
        <w:rPr>
          <w:rFonts w:ascii="Arial" w:hAnsi="Arial" w:cs="Arial"/>
          <w:i/>
          <w:iCs/>
        </w:rPr>
        <w:tab/>
      </w:r>
      <w:r w:rsidRPr="001A4DAE">
        <w:rPr>
          <w:rFonts w:ascii="Arial" w:hAnsi="Arial" w:cs="Arial"/>
          <w:b/>
          <w:bCs/>
          <w:i/>
          <w:iCs/>
        </w:rPr>
        <w:t>Reporting requirements for administrators</w:t>
      </w:r>
    </w:p>
    <w:p w14:paraId="598933FE" w14:textId="4FA8C987" w:rsidR="00D62602" w:rsidRPr="001A4DAE" w:rsidRDefault="00D62602" w:rsidP="00283BF8">
      <w:pPr>
        <w:pStyle w:val="ListParagraph"/>
        <w:numPr>
          <w:ilvl w:val="0"/>
          <w:numId w:val="2"/>
        </w:numPr>
        <w:ind w:left="1134" w:hanging="567"/>
        <w:rPr>
          <w:rFonts w:ascii="Arial" w:hAnsi="Arial" w:cs="Arial"/>
          <w:i/>
          <w:iCs/>
        </w:rPr>
      </w:pPr>
      <w:bookmarkStart w:id="0" w:name="GS63@Gs1@EN"/>
      <w:bookmarkEnd w:id="0"/>
      <w:r w:rsidRPr="001A4DAE">
        <w:rPr>
          <w:rFonts w:ascii="Arial" w:hAnsi="Arial" w:cs="Arial"/>
          <w:i/>
          <w:iCs/>
        </w:rPr>
        <w:t>An administrator appointed for a represented person in respect of financial matters must furnish the Tribunal, at such times as the Tribunal determines, with a statement of the accounts in respect of those financial matters, specifying –</w:t>
      </w:r>
      <w:bookmarkStart w:id="1" w:name="GS63@Gs1@Hpa@EN"/>
      <w:bookmarkEnd w:id="1"/>
    </w:p>
    <w:p w14:paraId="7F9C8198" w14:textId="5A82F058" w:rsidR="00D62602" w:rsidRPr="001A4DAE" w:rsidRDefault="00D62602" w:rsidP="00283BF8">
      <w:pPr>
        <w:ind w:left="1701" w:hanging="567"/>
        <w:rPr>
          <w:rFonts w:ascii="Arial" w:hAnsi="Arial" w:cs="Arial"/>
          <w:i/>
          <w:iCs/>
        </w:rPr>
      </w:pPr>
      <w:r w:rsidRPr="001A4DAE">
        <w:rPr>
          <w:rFonts w:ascii="Arial" w:hAnsi="Arial" w:cs="Arial"/>
          <w:i/>
          <w:iCs/>
        </w:rPr>
        <w:t>(a)</w:t>
      </w:r>
      <w:r w:rsidR="00283BF8" w:rsidRPr="001A4DAE">
        <w:rPr>
          <w:rFonts w:ascii="Arial" w:hAnsi="Arial" w:cs="Arial"/>
          <w:i/>
          <w:iCs/>
        </w:rPr>
        <w:tab/>
      </w:r>
      <w:r w:rsidRPr="001A4DAE">
        <w:rPr>
          <w:rFonts w:ascii="Arial" w:hAnsi="Arial" w:cs="Arial"/>
          <w:i/>
          <w:iCs/>
        </w:rPr>
        <w:t>the assets and liabilities relating to the financial matters; and</w:t>
      </w:r>
    </w:p>
    <w:p w14:paraId="32249AC2" w14:textId="2FB3763F" w:rsidR="00D62602" w:rsidRPr="001A4DAE" w:rsidRDefault="00D62602" w:rsidP="00283BF8">
      <w:pPr>
        <w:ind w:left="1701" w:hanging="567"/>
        <w:rPr>
          <w:rFonts w:ascii="Arial" w:hAnsi="Arial" w:cs="Arial"/>
          <w:i/>
          <w:iCs/>
        </w:rPr>
      </w:pPr>
      <w:bookmarkStart w:id="2" w:name="GS63@Gs1@Hpb@EN"/>
      <w:bookmarkEnd w:id="2"/>
      <w:r w:rsidRPr="001A4DAE">
        <w:rPr>
          <w:rFonts w:ascii="Arial" w:hAnsi="Arial" w:cs="Arial"/>
          <w:i/>
          <w:iCs/>
        </w:rPr>
        <w:t xml:space="preserve">(b) </w:t>
      </w:r>
      <w:r w:rsidR="00283BF8" w:rsidRPr="001A4DAE">
        <w:rPr>
          <w:rFonts w:ascii="Arial" w:hAnsi="Arial" w:cs="Arial"/>
          <w:i/>
          <w:iCs/>
        </w:rPr>
        <w:tab/>
      </w:r>
      <w:r w:rsidRPr="001A4DAE">
        <w:rPr>
          <w:rFonts w:ascii="Arial" w:hAnsi="Arial" w:cs="Arial"/>
          <w:i/>
          <w:iCs/>
        </w:rPr>
        <w:t>the income and expenditure relating to the financial matters over a specified period; and</w:t>
      </w:r>
    </w:p>
    <w:p w14:paraId="4151C5BD" w14:textId="2BA8F4A3" w:rsidR="00D62602" w:rsidRPr="001A4DAE" w:rsidRDefault="00D62602" w:rsidP="00283BF8">
      <w:pPr>
        <w:ind w:left="1701" w:hanging="567"/>
        <w:rPr>
          <w:rFonts w:ascii="Arial" w:hAnsi="Arial" w:cs="Arial"/>
          <w:i/>
          <w:iCs/>
        </w:rPr>
      </w:pPr>
      <w:bookmarkStart w:id="3" w:name="GS63@Gs1@Hpc@EN"/>
      <w:bookmarkEnd w:id="3"/>
      <w:r w:rsidRPr="001A4DAE">
        <w:rPr>
          <w:rFonts w:ascii="Arial" w:hAnsi="Arial" w:cs="Arial"/>
          <w:i/>
          <w:iCs/>
        </w:rPr>
        <w:t xml:space="preserve">(c) </w:t>
      </w:r>
      <w:r w:rsidR="00283BF8" w:rsidRPr="001A4DAE">
        <w:rPr>
          <w:rFonts w:ascii="Arial" w:hAnsi="Arial" w:cs="Arial"/>
          <w:i/>
          <w:iCs/>
        </w:rPr>
        <w:tab/>
      </w:r>
      <w:r w:rsidRPr="001A4DAE">
        <w:rPr>
          <w:rFonts w:ascii="Arial" w:hAnsi="Arial" w:cs="Arial"/>
          <w:i/>
          <w:iCs/>
        </w:rPr>
        <w:t>such other particulars relating to the financial matters as the Tribunal may require.</w:t>
      </w:r>
    </w:p>
    <w:p w14:paraId="791BC583" w14:textId="175277CB" w:rsidR="00D62602" w:rsidRPr="001A4DAE" w:rsidRDefault="00D62602" w:rsidP="00283BF8">
      <w:pPr>
        <w:pStyle w:val="ListParagraph"/>
        <w:numPr>
          <w:ilvl w:val="0"/>
          <w:numId w:val="2"/>
        </w:numPr>
        <w:ind w:hanging="513"/>
        <w:rPr>
          <w:rFonts w:ascii="Arial" w:hAnsi="Arial" w:cs="Arial"/>
          <w:i/>
          <w:iCs/>
        </w:rPr>
      </w:pPr>
      <w:bookmarkStart w:id="4" w:name="GS63@Gs2@EN"/>
      <w:bookmarkEnd w:id="4"/>
      <w:r w:rsidRPr="001A4DAE">
        <w:rPr>
          <w:rFonts w:ascii="Arial" w:hAnsi="Arial" w:cs="Arial"/>
          <w:i/>
          <w:iCs/>
        </w:rPr>
        <w:t xml:space="preserve">A statement under this </w:t>
      </w:r>
      <w:proofErr w:type="gramStart"/>
      <w:r w:rsidRPr="001A4DAE">
        <w:rPr>
          <w:rFonts w:ascii="Arial" w:hAnsi="Arial" w:cs="Arial"/>
          <w:i/>
          <w:iCs/>
        </w:rPr>
        <w:t>section  –</w:t>
      </w:r>
      <w:bookmarkStart w:id="5" w:name="GS63@Gs2@Hpa@EN"/>
      <w:bookmarkEnd w:id="5"/>
      <w:proofErr w:type="gramEnd"/>
    </w:p>
    <w:p w14:paraId="39753B56" w14:textId="171245D6" w:rsidR="00D62602" w:rsidRPr="001A4DAE" w:rsidRDefault="00D62602" w:rsidP="00283BF8">
      <w:pPr>
        <w:ind w:left="1701" w:hanging="567"/>
        <w:rPr>
          <w:rFonts w:ascii="Arial" w:hAnsi="Arial" w:cs="Arial"/>
          <w:i/>
          <w:iCs/>
        </w:rPr>
      </w:pPr>
      <w:r w:rsidRPr="001A4DAE">
        <w:rPr>
          <w:rFonts w:ascii="Arial" w:hAnsi="Arial" w:cs="Arial"/>
          <w:i/>
          <w:iCs/>
        </w:rPr>
        <w:t>(a</w:t>
      </w:r>
      <w:r w:rsidR="00283BF8" w:rsidRPr="001A4DAE">
        <w:rPr>
          <w:rFonts w:ascii="Arial" w:hAnsi="Arial" w:cs="Arial"/>
          <w:i/>
          <w:iCs/>
        </w:rPr>
        <w:t>)</w:t>
      </w:r>
      <w:r w:rsidR="00283BF8" w:rsidRPr="001A4DAE">
        <w:rPr>
          <w:rFonts w:ascii="Arial" w:hAnsi="Arial" w:cs="Arial"/>
          <w:i/>
          <w:iCs/>
        </w:rPr>
        <w:tab/>
      </w:r>
      <w:r w:rsidRPr="001A4DAE">
        <w:rPr>
          <w:rFonts w:ascii="Arial" w:hAnsi="Arial" w:cs="Arial"/>
          <w:i/>
          <w:iCs/>
        </w:rPr>
        <w:t>is to be in a form approved by the Tribunal; and</w:t>
      </w:r>
    </w:p>
    <w:p w14:paraId="617218BF" w14:textId="68906586" w:rsidR="00D62602" w:rsidRPr="001A4DAE" w:rsidRDefault="00D62602" w:rsidP="00283BF8">
      <w:pPr>
        <w:ind w:left="1701" w:hanging="567"/>
        <w:rPr>
          <w:rFonts w:ascii="Arial" w:hAnsi="Arial" w:cs="Arial"/>
          <w:i/>
          <w:iCs/>
        </w:rPr>
      </w:pPr>
      <w:bookmarkStart w:id="6" w:name="GS63@Gs2@Hpb@EN"/>
      <w:bookmarkEnd w:id="6"/>
      <w:r w:rsidRPr="001A4DAE">
        <w:rPr>
          <w:rFonts w:ascii="Arial" w:hAnsi="Arial" w:cs="Arial"/>
          <w:i/>
          <w:iCs/>
        </w:rPr>
        <w:t>(b) </w:t>
      </w:r>
      <w:r w:rsidR="00283BF8" w:rsidRPr="001A4DAE">
        <w:rPr>
          <w:rFonts w:ascii="Arial" w:hAnsi="Arial" w:cs="Arial"/>
          <w:i/>
          <w:iCs/>
        </w:rPr>
        <w:tab/>
      </w:r>
      <w:r w:rsidRPr="001A4DAE">
        <w:rPr>
          <w:rFonts w:ascii="Arial" w:hAnsi="Arial" w:cs="Arial"/>
          <w:i/>
          <w:iCs/>
        </w:rPr>
        <w:t>is to be supported by such evidence, if any, as the Tribunal may require.</w:t>
      </w:r>
    </w:p>
    <w:p w14:paraId="712C54AA" w14:textId="4DFD0FB3" w:rsidR="00D62602" w:rsidRPr="001A4DAE" w:rsidRDefault="00D62602" w:rsidP="00283BF8">
      <w:pPr>
        <w:pStyle w:val="ListParagraph"/>
        <w:numPr>
          <w:ilvl w:val="0"/>
          <w:numId w:val="2"/>
        </w:numPr>
        <w:ind w:hanging="513"/>
        <w:rPr>
          <w:rFonts w:ascii="Arial" w:hAnsi="Arial" w:cs="Arial"/>
          <w:i/>
          <w:iCs/>
        </w:rPr>
      </w:pPr>
      <w:bookmarkStart w:id="7" w:name="GS63@Gs3@EN"/>
      <w:bookmarkEnd w:id="7"/>
      <w:r w:rsidRPr="001A4DAE">
        <w:rPr>
          <w:rFonts w:ascii="Arial" w:hAnsi="Arial" w:cs="Arial"/>
          <w:i/>
          <w:iCs/>
        </w:rPr>
        <w:t xml:space="preserve">Where a represented person </w:t>
      </w:r>
      <w:proofErr w:type="gramStart"/>
      <w:r w:rsidRPr="001A4DAE">
        <w:rPr>
          <w:rFonts w:ascii="Arial" w:hAnsi="Arial" w:cs="Arial"/>
          <w:i/>
          <w:iCs/>
        </w:rPr>
        <w:t>dies  –</w:t>
      </w:r>
      <w:bookmarkStart w:id="8" w:name="GS63@Gs3@Hpa@EN"/>
      <w:bookmarkEnd w:id="8"/>
      <w:proofErr w:type="gramEnd"/>
    </w:p>
    <w:p w14:paraId="4CB8F292" w14:textId="181D40FF" w:rsidR="00D62602" w:rsidRPr="001A4DAE" w:rsidRDefault="00D62602" w:rsidP="00283BF8">
      <w:pPr>
        <w:ind w:left="1701" w:hanging="567"/>
        <w:rPr>
          <w:rFonts w:ascii="Arial" w:hAnsi="Arial" w:cs="Arial"/>
          <w:i/>
          <w:iCs/>
        </w:rPr>
      </w:pPr>
      <w:r w:rsidRPr="001A4DAE">
        <w:rPr>
          <w:rFonts w:ascii="Arial" w:hAnsi="Arial" w:cs="Arial"/>
          <w:i/>
          <w:iCs/>
        </w:rPr>
        <w:t>(a)</w:t>
      </w:r>
      <w:r w:rsidR="00283BF8" w:rsidRPr="001A4DAE">
        <w:rPr>
          <w:rFonts w:ascii="Arial" w:hAnsi="Arial" w:cs="Arial"/>
          <w:i/>
          <w:iCs/>
        </w:rPr>
        <w:tab/>
      </w:r>
      <w:r w:rsidRPr="001A4DAE">
        <w:rPr>
          <w:rFonts w:ascii="Arial" w:hAnsi="Arial" w:cs="Arial"/>
          <w:i/>
          <w:iCs/>
        </w:rPr>
        <w:t>the administrator appointed for the represented person in respect of financial matters must, within 7 days after notification of the death, inform the Tribunal in writing of the date of death; and</w:t>
      </w:r>
    </w:p>
    <w:p w14:paraId="6E3EABC5" w14:textId="2D6C2E2A" w:rsidR="00D62602" w:rsidRPr="001A4DAE" w:rsidRDefault="00D62602" w:rsidP="00283BF8">
      <w:pPr>
        <w:ind w:left="1701" w:hanging="567"/>
        <w:rPr>
          <w:rFonts w:ascii="Arial" w:hAnsi="Arial" w:cs="Arial"/>
          <w:i/>
          <w:iCs/>
        </w:rPr>
      </w:pPr>
      <w:bookmarkStart w:id="9" w:name="GS63@Gs3@Hpb@EN"/>
      <w:bookmarkEnd w:id="9"/>
      <w:r w:rsidRPr="001A4DAE">
        <w:rPr>
          <w:rFonts w:ascii="Arial" w:hAnsi="Arial" w:cs="Arial"/>
          <w:i/>
          <w:iCs/>
        </w:rPr>
        <w:t>(b)</w:t>
      </w:r>
      <w:r w:rsidR="00283BF8" w:rsidRPr="001A4DAE">
        <w:rPr>
          <w:rFonts w:ascii="Arial" w:hAnsi="Arial" w:cs="Arial"/>
          <w:i/>
          <w:iCs/>
        </w:rPr>
        <w:tab/>
      </w:r>
      <w:r w:rsidRPr="001A4DAE">
        <w:rPr>
          <w:rFonts w:ascii="Arial" w:hAnsi="Arial" w:cs="Arial"/>
          <w:i/>
          <w:iCs/>
        </w:rPr>
        <w:t>the administrator must, within 28 days after that notification, provide the Tribunal with a statement of the accounts relating to the financial matters –</w:t>
      </w:r>
    </w:p>
    <w:p w14:paraId="75509182" w14:textId="77777777" w:rsidR="00D62602" w:rsidRPr="001A4DAE" w:rsidRDefault="00D62602" w:rsidP="00283BF8">
      <w:pPr>
        <w:ind w:left="1134"/>
        <w:rPr>
          <w:rFonts w:ascii="Arial" w:hAnsi="Arial" w:cs="Arial"/>
          <w:i/>
          <w:iCs/>
        </w:rPr>
      </w:pPr>
      <w:r w:rsidRPr="001A4DAE">
        <w:rPr>
          <w:rFonts w:ascii="Arial" w:hAnsi="Arial" w:cs="Arial"/>
          <w:i/>
          <w:iCs/>
        </w:rPr>
        <w:t>and the cost of auditing the accounts may be paid from the estate notwithstanding that the administration order has ceased to have effect.</w:t>
      </w:r>
    </w:p>
    <w:p w14:paraId="2EEB2CA0" w14:textId="5456ACD4" w:rsidR="00D62602" w:rsidRPr="001A4DAE" w:rsidRDefault="00D62602" w:rsidP="00283BF8">
      <w:pPr>
        <w:pStyle w:val="ListParagraph"/>
        <w:numPr>
          <w:ilvl w:val="0"/>
          <w:numId w:val="2"/>
        </w:numPr>
        <w:ind w:hanging="513"/>
        <w:rPr>
          <w:rFonts w:ascii="Arial" w:hAnsi="Arial" w:cs="Arial"/>
          <w:i/>
          <w:iCs/>
        </w:rPr>
      </w:pPr>
      <w:bookmarkStart w:id="10" w:name="GS63@Gs4@EN"/>
      <w:bookmarkEnd w:id="10"/>
      <w:r w:rsidRPr="001A4DAE">
        <w:rPr>
          <w:rFonts w:ascii="Arial" w:hAnsi="Arial" w:cs="Arial"/>
          <w:i/>
          <w:iCs/>
        </w:rPr>
        <w:t>The Tribunal must examine a statement of accounts and may –</w:t>
      </w:r>
      <w:bookmarkStart w:id="11" w:name="GS63@Gs4@Hpa@EN"/>
      <w:bookmarkEnd w:id="11"/>
    </w:p>
    <w:p w14:paraId="0F1BCE78" w14:textId="1FA7AC94" w:rsidR="00D62602" w:rsidRPr="001A4DAE" w:rsidRDefault="00D62602" w:rsidP="00283BF8">
      <w:pPr>
        <w:ind w:left="1701" w:hanging="567"/>
        <w:rPr>
          <w:rFonts w:ascii="Arial" w:hAnsi="Arial" w:cs="Arial"/>
          <w:i/>
          <w:iCs/>
        </w:rPr>
      </w:pPr>
      <w:r w:rsidRPr="001A4DAE">
        <w:rPr>
          <w:rFonts w:ascii="Arial" w:hAnsi="Arial" w:cs="Arial"/>
          <w:i/>
          <w:iCs/>
        </w:rPr>
        <w:t>(a)</w:t>
      </w:r>
      <w:r w:rsidR="00283BF8" w:rsidRPr="001A4DAE">
        <w:rPr>
          <w:rFonts w:ascii="Arial" w:hAnsi="Arial" w:cs="Arial"/>
          <w:i/>
          <w:iCs/>
        </w:rPr>
        <w:tab/>
      </w:r>
      <w:r w:rsidRPr="001A4DAE">
        <w:rPr>
          <w:rFonts w:ascii="Arial" w:hAnsi="Arial" w:cs="Arial"/>
          <w:i/>
          <w:iCs/>
        </w:rPr>
        <w:t>cause the accounts to be audited by The Public Trustee or another person determined by the Tribunal at the cost of the represented person's estate; and</w:t>
      </w:r>
    </w:p>
    <w:p w14:paraId="38CC8AFD" w14:textId="6BEF6CBB" w:rsidR="00D62602" w:rsidRPr="001A4DAE" w:rsidRDefault="00D62602" w:rsidP="00283BF8">
      <w:pPr>
        <w:ind w:left="1701" w:hanging="567"/>
        <w:rPr>
          <w:rFonts w:ascii="Arial" w:hAnsi="Arial" w:cs="Arial"/>
          <w:i/>
          <w:iCs/>
        </w:rPr>
      </w:pPr>
      <w:bookmarkStart w:id="12" w:name="GS63@Gs4@Hpb@EN"/>
      <w:bookmarkEnd w:id="12"/>
      <w:r w:rsidRPr="001A4DAE">
        <w:rPr>
          <w:rFonts w:ascii="Arial" w:hAnsi="Arial" w:cs="Arial"/>
          <w:i/>
          <w:iCs/>
        </w:rPr>
        <w:t xml:space="preserve">(b) </w:t>
      </w:r>
      <w:r w:rsidR="00283BF8" w:rsidRPr="001A4DAE">
        <w:rPr>
          <w:rFonts w:ascii="Arial" w:hAnsi="Arial" w:cs="Arial"/>
          <w:i/>
          <w:iCs/>
        </w:rPr>
        <w:tab/>
      </w:r>
      <w:r w:rsidRPr="001A4DAE">
        <w:rPr>
          <w:rFonts w:ascii="Arial" w:hAnsi="Arial" w:cs="Arial"/>
          <w:i/>
          <w:iCs/>
        </w:rPr>
        <w:t xml:space="preserve">if of opinion that the administrator, in making any expenditure in the exercise, or purported exercise, of his or her powers as such, did not </w:t>
      </w:r>
      <w:r w:rsidRPr="001A4DAE">
        <w:rPr>
          <w:rFonts w:ascii="Arial" w:hAnsi="Arial" w:cs="Arial"/>
          <w:i/>
          <w:iCs/>
        </w:rPr>
        <w:lastRenderedPageBreak/>
        <w:t>act in good faith or with reasonable care, disallow that item of expenditure.</w:t>
      </w:r>
    </w:p>
    <w:p w14:paraId="19FCEAFF" w14:textId="79A84995" w:rsidR="00D62602" w:rsidRPr="001A4DAE" w:rsidRDefault="00D62602" w:rsidP="00283BF8">
      <w:pPr>
        <w:ind w:left="1134" w:hanging="567"/>
        <w:rPr>
          <w:rFonts w:ascii="Arial" w:hAnsi="Arial" w:cs="Arial"/>
          <w:i/>
          <w:iCs/>
        </w:rPr>
      </w:pPr>
      <w:bookmarkStart w:id="13" w:name="GS63@Gs5@EN"/>
      <w:bookmarkEnd w:id="13"/>
      <w:r w:rsidRPr="001A4DAE">
        <w:rPr>
          <w:rFonts w:ascii="Arial" w:hAnsi="Arial" w:cs="Arial"/>
          <w:i/>
          <w:iCs/>
        </w:rPr>
        <w:t>(5)</w:t>
      </w:r>
      <w:r w:rsidR="00283BF8" w:rsidRPr="001A4DAE">
        <w:rPr>
          <w:rFonts w:ascii="Arial" w:hAnsi="Arial" w:cs="Arial"/>
          <w:i/>
          <w:iCs/>
        </w:rPr>
        <w:tab/>
      </w:r>
      <w:r w:rsidRPr="001A4DAE">
        <w:rPr>
          <w:rFonts w:ascii="Arial" w:hAnsi="Arial" w:cs="Arial"/>
          <w:i/>
          <w:iCs/>
        </w:rPr>
        <w:t>The Tribunal must not disallow an item of expenditure unless it first gives the administrator and any other person the Tribunal thinks fit the opportunity to appear before the Tribunal and be heard on the matter.</w:t>
      </w:r>
    </w:p>
    <w:p w14:paraId="16CFFF5F" w14:textId="6AA73F8E" w:rsidR="00D62602" w:rsidRPr="001A4DAE" w:rsidRDefault="00D62602" w:rsidP="00283BF8">
      <w:pPr>
        <w:ind w:left="1134" w:hanging="567"/>
        <w:rPr>
          <w:rFonts w:ascii="Arial" w:hAnsi="Arial" w:cs="Arial"/>
          <w:i/>
          <w:iCs/>
        </w:rPr>
      </w:pPr>
      <w:bookmarkStart w:id="14" w:name="GS63@Gs6@EN"/>
      <w:bookmarkEnd w:id="14"/>
      <w:r w:rsidRPr="001A4DAE">
        <w:rPr>
          <w:rFonts w:ascii="Arial" w:hAnsi="Arial" w:cs="Arial"/>
          <w:i/>
          <w:iCs/>
        </w:rPr>
        <w:t>(6)</w:t>
      </w:r>
      <w:r w:rsidR="00283BF8" w:rsidRPr="001A4DAE">
        <w:rPr>
          <w:rFonts w:ascii="Arial" w:hAnsi="Arial" w:cs="Arial"/>
          <w:i/>
          <w:iCs/>
        </w:rPr>
        <w:tab/>
      </w:r>
      <w:r w:rsidRPr="001A4DAE">
        <w:rPr>
          <w:rFonts w:ascii="Arial" w:hAnsi="Arial" w:cs="Arial"/>
          <w:i/>
          <w:iCs/>
        </w:rPr>
        <w:t>Where the Tribunal disallows an item of expenditure under </w:t>
      </w:r>
      <w:hyperlink r:id="rId12" w:anchor="GS63@Gs4@EN" w:history="1">
        <w:r w:rsidRPr="001A4DAE">
          <w:rPr>
            <w:rStyle w:val="Hyperlink"/>
            <w:rFonts w:ascii="Arial" w:hAnsi="Arial" w:cs="Arial"/>
            <w:i/>
            <w:iCs/>
          </w:rPr>
          <w:t>subsection (4)</w:t>
        </w:r>
      </w:hyperlink>
      <w:r w:rsidRPr="001A4DAE">
        <w:rPr>
          <w:rFonts w:ascii="Arial" w:hAnsi="Arial" w:cs="Arial"/>
          <w:i/>
          <w:iCs/>
        </w:rPr>
        <w:t> </w:t>
      </w:r>
      <w:hyperlink r:id="rId13" w:anchor="GS63@Gs4@Hpb@EN" w:history="1">
        <w:r w:rsidRPr="001A4DAE">
          <w:rPr>
            <w:rStyle w:val="Hyperlink"/>
            <w:rFonts w:ascii="Arial" w:hAnsi="Arial" w:cs="Arial"/>
            <w:i/>
            <w:iCs/>
          </w:rPr>
          <w:t>(b)</w:t>
        </w:r>
      </w:hyperlink>
      <w:r w:rsidRPr="001A4DAE">
        <w:rPr>
          <w:rFonts w:ascii="Arial" w:hAnsi="Arial" w:cs="Arial"/>
          <w:i/>
          <w:iCs/>
        </w:rPr>
        <w:t> , the administrator is personally liable to the represented person for the amount of the expenditure and to the Tribunal for its costs and expenses incurred in relation to the disallowance.</w:t>
      </w:r>
    </w:p>
    <w:p w14:paraId="4484A4F8" w14:textId="439C68AB" w:rsidR="00D62602" w:rsidRPr="001A4DAE" w:rsidRDefault="00D62602" w:rsidP="00283BF8">
      <w:pPr>
        <w:ind w:left="1134" w:hanging="567"/>
        <w:rPr>
          <w:rFonts w:ascii="Arial" w:hAnsi="Arial" w:cs="Arial"/>
          <w:i/>
          <w:iCs/>
        </w:rPr>
      </w:pPr>
      <w:bookmarkStart w:id="15" w:name="GS63@Gs7@EN"/>
      <w:bookmarkEnd w:id="15"/>
      <w:r w:rsidRPr="001A4DAE">
        <w:rPr>
          <w:rFonts w:ascii="Arial" w:hAnsi="Arial" w:cs="Arial"/>
          <w:i/>
          <w:iCs/>
        </w:rPr>
        <w:t xml:space="preserve">(7) </w:t>
      </w:r>
      <w:r w:rsidR="00283BF8" w:rsidRPr="001A4DAE">
        <w:rPr>
          <w:rFonts w:ascii="Arial" w:hAnsi="Arial" w:cs="Arial"/>
          <w:i/>
          <w:iCs/>
        </w:rPr>
        <w:tab/>
      </w:r>
      <w:r w:rsidRPr="001A4DAE">
        <w:rPr>
          <w:rFonts w:ascii="Arial" w:hAnsi="Arial" w:cs="Arial"/>
          <w:i/>
          <w:iCs/>
        </w:rPr>
        <w:t>An administrator who, without reasonable excuse, contravenes this section is guilty of an offence and is liable on summary conviction to a penalty not exceeding 20 penalty units.</w:t>
      </w:r>
    </w:p>
    <w:p w14:paraId="7A909D24" w14:textId="13F44D38" w:rsidR="00D62602" w:rsidRPr="001A4DAE" w:rsidRDefault="00FB2975" w:rsidP="006523E3">
      <w:pPr>
        <w:rPr>
          <w:rFonts w:ascii="Arial" w:hAnsi="Arial" w:cs="Arial"/>
          <w:b/>
          <w:bCs/>
        </w:rPr>
      </w:pPr>
      <w:r w:rsidRPr="001A4DAE">
        <w:rPr>
          <w:rFonts w:ascii="Arial" w:hAnsi="Arial" w:cs="Arial"/>
          <w:b/>
          <w:bCs/>
        </w:rPr>
        <w:t>Section 66 of the Guardianship and Administration Act 1995:</w:t>
      </w:r>
    </w:p>
    <w:p w14:paraId="3B8F2BC4" w14:textId="4B6E6C2F" w:rsidR="0063424A" w:rsidRPr="001A4DAE" w:rsidRDefault="0063424A" w:rsidP="0063424A">
      <w:pPr>
        <w:rPr>
          <w:rFonts w:ascii="Arial" w:hAnsi="Arial" w:cs="Arial"/>
          <w:i/>
          <w:iCs/>
        </w:rPr>
      </w:pPr>
      <w:r w:rsidRPr="001A4DAE">
        <w:rPr>
          <w:rFonts w:ascii="Arial" w:hAnsi="Arial" w:cs="Arial"/>
          <w:b/>
          <w:bCs/>
          <w:i/>
          <w:iCs/>
        </w:rPr>
        <w:t>66.</w:t>
      </w:r>
      <w:r w:rsidRPr="001A4DAE">
        <w:rPr>
          <w:rFonts w:ascii="Arial" w:hAnsi="Arial" w:cs="Arial"/>
          <w:i/>
          <w:iCs/>
        </w:rPr>
        <w:t>   </w:t>
      </w:r>
      <w:r w:rsidRPr="001A4DAE">
        <w:rPr>
          <w:rFonts w:ascii="Arial" w:hAnsi="Arial" w:cs="Arial"/>
          <w:b/>
          <w:bCs/>
          <w:i/>
          <w:iCs/>
        </w:rPr>
        <w:t>Annual reports in respect of represented persons</w:t>
      </w:r>
    </w:p>
    <w:p w14:paraId="7E8EC17C" w14:textId="4943AE5A" w:rsidR="0063424A" w:rsidRPr="001A4DAE" w:rsidRDefault="0063424A" w:rsidP="00283BF8">
      <w:pPr>
        <w:pStyle w:val="ListParagraph"/>
        <w:numPr>
          <w:ilvl w:val="0"/>
          <w:numId w:val="4"/>
        </w:numPr>
        <w:ind w:hanging="585"/>
        <w:rPr>
          <w:rFonts w:ascii="Arial" w:hAnsi="Arial" w:cs="Arial"/>
          <w:i/>
          <w:iCs/>
        </w:rPr>
      </w:pPr>
      <w:bookmarkStart w:id="16" w:name="GS66@Gs1@EN"/>
      <w:bookmarkEnd w:id="16"/>
      <w:r w:rsidRPr="001A4DAE">
        <w:rPr>
          <w:rFonts w:ascii="Arial" w:hAnsi="Arial" w:cs="Arial"/>
          <w:i/>
          <w:iCs/>
        </w:rPr>
        <w:t>The Tribunal must at least once in each period of 12 months obtain and consider a written report on the circumstances of each person who is subject to a guardianship order or administration order, including such details as the Tribunal may require as to the guardianship or administration from –</w:t>
      </w:r>
      <w:bookmarkStart w:id="17" w:name="GS66@Gs1@Hpa@EN"/>
      <w:bookmarkEnd w:id="17"/>
    </w:p>
    <w:p w14:paraId="45A1B698" w14:textId="01454D15" w:rsidR="0063424A" w:rsidRPr="001A4DAE" w:rsidRDefault="0063424A" w:rsidP="00283BF8">
      <w:pPr>
        <w:ind w:left="1701" w:hanging="567"/>
        <w:rPr>
          <w:rFonts w:ascii="Arial" w:hAnsi="Arial" w:cs="Arial"/>
          <w:i/>
          <w:iCs/>
        </w:rPr>
      </w:pPr>
      <w:r w:rsidRPr="001A4DAE">
        <w:rPr>
          <w:rFonts w:ascii="Arial" w:hAnsi="Arial" w:cs="Arial"/>
          <w:i/>
          <w:iCs/>
        </w:rPr>
        <w:t xml:space="preserve">(a) </w:t>
      </w:r>
      <w:r w:rsidR="00283BF8" w:rsidRPr="001A4DAE">
        <w:rPr>
          <w:rFonts w:ascii="Arial" w:hAnsi="Arial" w:cs="Arial"/>
          <w:i/>
          <w:iCs/>
        </w:rPr>
        <w:tab/>
      </w:r>
      <w:r w:rsidRPr="001A4DAE">
        <w:rPr>
          <w:rFonts w:ascii="Arial" w:hAnsi="Arial" w:cs="Arial"/>
          <w:i/>
          <w:iCs/>
        </w:rPr>
        <w:t>the administrator or guardian or both; and</w:t>
      </w:r>
    </w:p>
    <w:p w14:paraId="67E6CB7E" w14:textId="07DA5C90" w:rsidR="0063424A" w:rsidRPr="001A4DAE" w:rsidRDefault="0063424A" w:rsidP="00283BF8">
      <w:pPr>
        <w:ind w:left="1701" w:hanging="567"/>
        <w:rPr>
          <w:rFonts w:ascii="Arial" w:hAnsi="Arial" w:cs="Arial"/>
          <w:i/>
          <w:iCs/>
        </w:rPr>
      </w:pPr>
      <w:bookmarkStart w:id="18" w:name="GS66@Gs1@Hpb@EN"/>
      <w:bookmarkEnd w:id="18"/>
      <w:r w:rsidRPr="001A4DAE">
        <w:rPr>
          <w:rFonts w:ascii="Arial" w:hAnsi="Arial" w:cs="Arial"/>
          <w:i/>
          <w:iCs/>
        </w:rPr>
        <w:t>(b) </w:t>
      </w:r>
      <w:r w:rsidR="00283BF8" w:rsidRPr="001A4DAE">
        <w:rPr>
          <w:rFonts w:ascii="Arial" w:hAnsi="Arial" w:cs="Arial"/>
          <w:i/>
          <w:iCs/>
        </w:rPr>
        <w:tab/>
      </w:r>
      <w:r w:rsidRPr="001A4DAE">
        <w:rPr>
          <w:rFonts w:ascii="Arial" w:hAnsi="Arial" w:cs="Arial"/>
          <w:i/>
          <w:iCs/>
        </w:rPr>
        <w:t>such other person as the Tribunal may determine.</w:t>
      </w:r>
    </w:p>
    <w:p w14:paraId="1C199EA8" w14:textId="100E9564" w:rsidR="0063424A" w:rsidRPr="001A4DAE" w:rsidRDefault="0063424A" w:rsidP="00283BF8">
      <w:pPr>
        <w:ind w:left="1134" w:hanging="567"/>
        <w:rPr>
          <w:rFonts w:ascii="Arial" w:hAnsi="Arial" w:cs="Arial"/>
          <w:i/>
          <w:iCs/>
        </w:rPr>
      </w:pPr>
      <w:bookmarkStart w:id="19" w:name="GS66@Gs2@EN"/>
      <w:bookmarkEnd w:id="19"/>
      <w:r w:rsidRPr="001A4DAE">
        <w:rPr>
          <w:rFonts w:ascii="Arial" w:hAnsi="Arial" w:cs="Arial"/>
          <w:i/>
          <w:iCs/>
        </w:rPr>
        <w:t>(2)</w:t>
      </w:r>
      <w:r w:rsidR="00283BF8" w:rsidRPr="001A4DAE">
        <w:rPr>
          <w:rFonts w:ascii="Arial" w:hAnsi="Arial" w:cs="Arial"/>
          <w:i/>
          <w:iCs/>
        </w:rPr>
        <w:tab/>
      </w:r>
      <w:r w:rsidRPr="001A4DAE">
        <w:rPr>
          <w:rFonts w:ascii="Arial" w:hAnsi="Arial" w:cs="Arial"/>
          <w:i/>
          <w:iCs/>
        </w:rPr>
        <w:t>An administrator, guardian or other person referred to in </w:t>
      </w:r>
      <w:hyperlink r:id="rId14" w:anchor="GS66@Gs1@EN" w:history="1">
        <w:r w:rsidRPr="001A4DAE">
          <w:rPr>
            <w:rStyle w:val="Hyperlink"/>
            <w:rFonts w:ascii="Arial" w:hAnsi="Arial" w:cs="Arial"/>
            <w:i/>
            <w:iCs/>
          </w:rPr>
          <w:t>subsection (1)</w:t>
        </w:r>
      </w:hyperlink>
      <w:r w:rsidRPr="001A4DAE">
        <w:rPr>
          <w:rFonts w:ascii="Arial" w:hAnsi="Arial" w:cs="Arial"/>
          <w:i/>
          <w:iCs/>
        </w:rPr>
        <w:t> must, within 14 days after receiving a notice requiring him or her to do so or within such further period as the Tribunal may allow, furnish the Tribunal with a written report on the circumstances of a person who is subject to a guardianship order or administration order giving such particulars in respect of that person as the Tribunal may require.</w:t>
      </w:r>
    </w:p>
    <w:p w14:paraId="1DE84C81" w14:textId="699AFC53" w:rsidR="0063424A" w:rsidRPr="001A4DAE" w:rsidRDefault="0063424A" w:rsidP="00283BF8">
      <w:pPr>
        <w:ind w:left="1134" w:hanging="567"/>
        <w:rPr>
          <w:rFonts w:ascii="Arial" w:hAnsi="Arial" w:cs="Arial"/>
          <w:i/>
          <w:iCs/>
        </w:rPr>
      </w:pPr>
      <w:bookmarkStart w:id="20" w:name="GS66@Gs3@EN"/>
      <w:bookmarkEnd w:id="20"/>
      <w:r w:rsidRPr="001A4DAE">
        <w:rPr>
          <w:rFonts w:ascii="Arial" w:hAnsi="Arial" w:cs="Arial"/>
          <w:i/>
          <w:iCs/>
        </w:rPr>
        <w:t xml:space="preserve">(3) </w:t>
      </w:r>
      <w:r w:rsidR="00283BF8" w:rsidRPr="001A4DAE">
        <w:rPr>
          <w:rFonts w:ascii="Arial" w:hAnsi="Arial" w:cs="Arial"/>
          <w:i/>
          <w:iCs/>
        </w:rPr>
        <w:tab/>
      </w:r>
      <w:r w:rsidRPr="001A4DAE">
        <w:rPr>
          <w:rFonts w:ascii="Arial" w:hAnsi="Arial" w:cs="Arial"/>
          <w:i/>
          <w:iCs/>
        </w:rPr>
        <w:t>An administrator, guardian or other person who contravenes </w:t>
      </w:r>
      <w:hyperlink r:id="rId15" w:anchor="GS66@Gs2@EN" w:history="1">
        <w:r w:rsidRPr="001A4DAE">
          <w:rPr>
            <w:rStyle w:val="Hyperlink"/>
            <w:rFonts w:ascii="Arial" w:hAnsi="Arial" w:cs="Arial"/>
            <w:i/>
            <w:iCs/>
          </w:rPr>
          <w:t>subsection (2)</w:t>
        </w:r>
      </w:hyperlink>
      <w:r w:rsidRPr="001A4DAE">
        <w:rPr>
          <w:rFonts w:ascii="Arial" w:hAnsi="Arial" w:cs="Arial"/>
          <w:i/>
          <w:iCs/>
        </w:rPr>
        <w:t> is guilty of an offence and is liable on summary conviction to a fine not exceeding 10 penalty units.</w:t>
      </w:r>
    </w:p>
    <w:sectPr w:rsidR="0063424A" w:rsidRPr="001A4DAE" w:rsidSect="00023732">
      <w:headerReference w:type="even" r:id="rId16"/>
      <w:headerReference w:type="default" r:id="rId17"/>
      <w:footerReference w:type="even" r:id="rId18"/>
      <w:footerReference w:type="default" r:id="rId19"/>
      <w:headerReference w:type="first" r:id="rId20"/>
      <w:footerReference w:type="first" r:id="rId21"/>
      <w:pgSz w:w="11906" w:h="16838"/>
      <w:pgMar w:top="2644" w:right="1440" w:bottom="1440" w:left="1440"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7F1F4" w14:textId="77777777" w:rsidR="0022497C" w:rsidRDefault="0022497C" w:rsidP="008E4DCA">
      <w:r>
        <w:separator/>
      </w:r>
    </w:p>
  </w:endnote>
  <w:endnote w:type="continuationSeparator" w:id="0">
    <w:p w14:paraId="2849B0CF" w14:textId="77777777" w:rsidR="0022497C" w:rsidRDefault="0022497C" w:rsidP="008E4D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73B5A" w14:textId="77777777" w:rsidR="00B02753" w:rsidRDefault="00B027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4150F" w14:textId="77777777" w:rsidR="006B3171" w:rsidRPr="006B3171" w:rsidRDefault="006B3171" w:rsidP="00283BF8">
    <w:pPr>
      <w:spacing w:before="0" w:after="0"/>
      <w:jc w:val="center"/>
      <w:rPr>
        <w:rFonts w:ascii="Arial" w:hAnsi="Arial" w:cs="Arial"/>
        <w:sz w:val="20"/>
        <w:szCs w:val="20"/>
      </w:rPr>
    </w:pPr>
    <w:r w:rsidRPr="006B3171">
      <w:rPr>
        <w:rFonts w:ascii="Arial" w:hAnsi="Arial" w:cs="Arial"/>
        <w:sz w:val="20"/>
        <w:szCs w:val="20"/>
      </w:rPr>
      <w:t xml:space="preserve">GPO Box 1311, Hobart 7001 </w:t>
    </w:r>
    <w:r w:rsidRPr="006B3171">
      <w:rPr>
        <w:rFonts w:ascii="Arial" w:hAnsi="Arial" w:cs="Arial"/>
        <w:b/>
        <w:sz w:val="20"/>
        <w:szCs w:val="20"/>
      </w:rPr>
      <w:t>|</w:t>
    </w:r>
    <w:r w:rsidRPr="006B3171">
      <w:rPr>
        <w:rFonts w:ascii="Arial" w:hAnsi="Arial" w:cs="Arial"/>
        <w:sz w:val="20"/>
        <w:szCs w:val="20"/>
      </w:rPr>
      <w:t xml:space="preserve"> 38 Barrack Street, Hobart</w:t>
    </w:r>
  </w:p>
  <w:p w14:paraId="60A8A588" w14:textId="2B36E74E" w:rsidR="006B3171" w:rsidRDefault="006B3171" w:rsidP="00283BF8">
    <w:pPr>
      <w:spacing w:before="0" w:after="0"/>
      <w:jc w:val="center"/>
      <w:rPr>
        <w:rFonts w:ascii="Arial" w:hAnsi="Arial" w:cs="Arial"/>
        <w:sz w:val="20"/>
        <w:szCs w:val="20"/>
      </w:rPr>
    </w:pPr>
    <w:r w:rsidRPr="006B3171">
      <w:rPr>
        <w:rFonts w:ascii="Arial" w:hAnsi="Arial" w:cs="Arial"/>
        <w:sz w:val="20"/>
        <w:szCs w:val="20"/>
      </w:rPr>
      <w:t xml:space="preserve">Telephone: 1800 657 500 </w:t>
    </w:r>
    <w:r w:rsidRPr="006B3171">
      <w:rPr>
        <w:rFonts w:ascii="Arial" w:hAnsi="Arial" w:cs="Arial"/>
        <w:b/>
        <w:sz w:val="20"/>
        <w:szCs w:val="20"/>
      </w:rPr>
      <w:t xml:space="preserve">| </w:t>
    </w:r>
    <w:r w:rsidRPr="006B3171">
      <w:rPr>
        <w:rFonts w:ascii="Arial" w:hAnsi="Arial" w:cs="Arial"/>
        <w:sz w:val="20"/>
        <w:szCs w:val="20"/>
      </w:rPr>
      <w:t xml:space="preserve">Email: </w:t>
    </w:r>
    <w:hyperlink r:id="rId1" w:history="1">
      <w:r w:rsidRPr="008B0708">
        <w:rPr>
          <w:rStyle w:val="Hyperlink"/>
          <w:rFonts w:ascii="Arial" w:hAnsi="Arial" w:cs="Arial"/>
          <w:sz w:val="20"/>
          <w:szCs w:val="20"/>
        </w:rPr>
        <w:t>tascat@tascat.tas.gov.au</w:t>
      </w:r>
    </w:hyperlink>
    <w:r w:rsidR="00283BF8">
      <w:rPr>
        <w:rFonts w:ascii="Arial" w:hAnsi="Arial" w:cs="Arial"/>
        <w:sz w:val="20"/>
        <w:szCs w:val="20"/>
      </w:rPr>
      <w:t xml:space="preserve"> </w:t>
    </w:r>
  </w:p>
  <w:p w14:paraId="7C44E71E" w14:textId="77777777" w:rsidR="00023732" w:rsidRDefault="00023732" w:rsidP="00283BF8">
    <w:pPr>
      <w:spacing w:before="0" w:after="0"/>
      <w:jc w:val="center"/>
      <w:rPr>
        <w:rFonts w:ascii="Arial" w:hAnsi="Arial" w:cs="Arial"/>
        <w:sz w:val="20"/>
        <w:szCs w:val="20"/>
      </w:rPr>
    </w:pPr>
  </w:p>
  <w:p w14:paraId="4418657E" w14:textId="35766C10" w:rsidR="00023732" w:rsidRPr="00023732" w:rsidRDefault="00B02753" w:rsidP="00B02753">
    <w:pPr>
      <w:spacing w:before="0" w:after="0"/>
      <w:ind w:left="-993"/>
      <w:rPr>
        <w:rFonts w:ascii="Arial" w:hAnsi="Arial" w:cs="Arial"/>
        <w:sz w:val="18"/>
        <w:szCs w:val="18"/>
      </w:rPr>
    </w:pPr>
    <w:r>
      <w:rPr>
        <w:rFonts w:ascii="Arial" w:hAnsi="Arial" w:cs="Arial"/>
        <w:sz w:val="18"/>
        <w:szCs w:val="18"/>
      </w:rPr>
      <w:fldChar w:fldCharType="begin"/>
    </w:r>
    <w:r>
      <w:rPr>
        <w:rFonts w:ascii="Arial" w:hAnsi="Arial" w:cs="Arial"/>
        <w:sz w:val="18"/>
        <w:szCs w:val="18"/>
      </w:rPr>
      <w:instrText xml:space="preserve"> FILENAME   \* MERGEFORMAT </w:instrText>
    </w:r>
    <w:r>
      <w:rPr>
        <w:rFonts w:ascii="Arial" w:hAnsi="Arial" w:cs="Arial"/>
        <w:sz w:val="18"/>
        <w:szCs w:val="18"/>
      </w:rPr>
      <w:fldChar w:fldCharType="separate"/>
    </w:r>
    <w:r>
      <w:rPr>
        <w:rFonts w:ascii="Arial" w:hAnsi="Arial" w:cs="Arial"/>
        <w:noProof/>
        <w:sz w:val="18"/>
        <w:szCs w:val="18"/>
      </w:rPr>
      <w:t>260901 - Guardianship Stream -  PRACTICE DIRECTION 1.docx</w:t>
    </w:r>
    <w:r>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087B3" w14:textId="77777777" w:rsidR="00B02753" w:rsidRDefault="00B027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124F2" w14:textId="77777777" w:rsidR="0022497C" w:rsidRDefault="0022497C" w:rsidP="008E4DCA">
      <w:r>
        <w:separator/>
      </w:r>
    </w:p>
  </w:footnote>
  <w:footnote w:type="continuationSeparator" w:id="0">
    <w:p w14:paraId="1E58A9FF" w14:textId="77777777" w:rsidR="0022497C" w:rsidRDefault="0022497C" w:rsidP="008E4D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DA458" w14:textId="77777777" w:rsidR="00B02753" w:rsidRDefault="00B027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747DE" w14:textId="77777777" w:rsidR="008E4DCA" w:rsidRDefault="00947B7D" w:rsidP="008E4DCA">
    <w:pPr>
      <w:pStyle w:val="Header"/>
      <w:ind w:left="-1134"/>
    </w:pPr>
    <w:r>
      <w:rPr>
        <w:noProof/>
      </w:rPr>
      <w:drawing>
        <wp:inline distT="0" distB="0" distL="0" distR="0" wp14:anchorId="1F3F21E7" wp14:editId="54045E94">
          <wp:extent cx="7200000" cy="1259363"/>
          <wp:effectExtent l="0" t="0" r="1270" b="0"/>
          <wp:docPr id="2498076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807674"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200000" cy="125936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C3817" w14:textId="77777777" w:rsidR="00B02753" w:rsidRDefault="00B027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2231B"/>
    <w:multiLevelType w:val="hybridMultilevel"/>
    <w:tmpl w:val="605CFCE8"/>
    <w:lvl w:ilvl="0" w:tplc="A2C4BE42">
      <w:start w:val="1"/>
      <w:numFmt w:val="decimal"/>
      <w:lvlText w:val="(%1)"/>
      <w:lvlJc w:val="left"/>
      <w:pPr>
        <w:ind w:left="1152" w:hanging="432"/>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206C78F7"/>
    <w:multiLevelType w:val="hybridMultilevel"/>
    <w:tmpl w:val="73C243F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4686952"/>
    <w:multiLevelType w:val="hybridMultilevel"/>
    <w:tmpl w:val="F5E4F466"/>
    <w:lvl w:ilvl="0" w:tplc="E208E6BA">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60C52DBF"/>
    <w:multiLevelType w:val="hybridMultilevel"/>
    <w:tmpl w:val="764A7298"/>
    <w:lvl w:ilvl="0" w:tplc="180A9DDC">
      <w:start w:val="4"/>
      <w:numFmt w:val="bullet"/>
      <w:lvlText w:val=""/>
      <w:lvlJc w:val="left"/>
      <w:pPr>
        <w:ind w:left="720" w:hanging="360"/>
      </w:pPr>
      <w:rPr>
        <w:rFonts w:ascii="Symbol" w:eastAsiaTheme="minorHAnsi"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9929670">
    <w:abstractNumId w:val="1"/>
  </w:num>
  <w:num w:numId="2" w16cid:durableId="1175533697">
    <w:abstractNumId w:val="2"/>
  </w:num>
  <w:num w:numId="3" w16cid:durableId="2061711266">
    <w:abstractNumId w:val="3"/>
  </w:num>
  <w:num w:numId="4" w16cid:durableId="9922999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59F"/>
    <w:rsid w:val="00001836"/>
    <w:rsid w:val="000200FE"/>
    <w:rsid w:val="00023732"/>
    <w:rsid w:val="0002525A"/>
    <w:rsid w:val="00031426"/>
    <w:rsid w:val="00033985"/>
    <w:rsid w:val="00054BA3"/>
    <w:rsid w:val="000726CB"/>
    <w:rsid w:val="000A37E5"/>
    <w:rsid w:val="000B28E7"/>
    <w:rsid w:val="000B6869"/>
    <w:rsid w:val="000E40A9"/>
    <w:rsid w:val="00142466"/>
    <w:rsid w:val="00183C1B"/>
    <w:rsid w:val="001A4DAE"/>
    <w:rsid w:val="001B40A4"/>
    <w:rsid w:val="001B58D3"/>
    <w:rsid w:val="001C01DF"/>
    <w:rsid w:val="001C30F7"/>
    <w:rsid w:val="001C5C13"/>
    <w:rsid w:val="00211A4D"/>
    <w:rsid w:val="0022497C"/>
    <w:rsid w:val="00236553"/>
    <w:rsid w:val="00246D1A"/>
    <w:rsid w:val="00256B9C"/>
    <w:rsid w:val="002730D2"/>
    <w:rsid w:val="00277F22"/>
    <w:rsid w:val="00283BF8"/>
    <w:rsid w:val="002A5090"/>
    <w:rsid w:val="002B68A9"/>
    <w:rsid w:val="002E6274"/>
    <w:rsid w:val="002E731E"/>
    <w:rsid w:val="002F4B54"/>
    <w:rsid w:val="003422FC"/>
    <w:rsid w:val="003665EE"/>
    <w:rsid w:val="00372E04"/>
    <w:rsid w:val="00375661"/>
    <w:rsid w:val="003D038B"/>
    <w:rsid w:val="004200AB"/>
    <w:rsid w:val="00432A45"/>
    <w:rsid w:val="00432E5D"/>
    <w:rsid w:val="00445C53"/>
    <w:rsid w:val="004610BE"/>
    <w:rsid w:val="00472CD1"/>
    <w:rsid w:val="004C793A"/>
    <w:rsid w:val="004E18EC"/>
    <w:rsid w:val="00500131"/>
    <w:rsid w:val="00504E93"/>
    <w:rsid w:val="00520444"/>
    <w:rsid w:val="00563419"/>
    <w:rsid w:val="005C0B27"/>
    <w:rsid w:val="005E4012"/>
    <w:rsid w:val="005E6576"/>
    <w:rsid w:val="0063424A"/>
    <w:rsid w:val="00645E50"/>
    <w:rsid w:val="006523E3"/>
    <w:rsid w:val="006A0D35"/>
    <w:rsid w:val="006B3171"/>
    <w:rsid w:val="006B3E88"/>
    <w:rsid w:val="006F5E15"/>
    <w:rsid w:val="00752DE0"/>
    <w:rsid w:val="007845A9"/>
    <w:rsid w:val="007D3490"/>
    <w:rsid w:val="0082352B"/>
    <w:rsid w:val="00875849"/>
    <w:rsid w:val="008B0F2E"/>
    <w:rsid w:val="008E4DCA"/>
    <w:rsid w:val="00900CA6"/>
    <w:rsid w:val="00916E68"/>
    <w:rsid w:val="00947B7D"/>
    <w:rsid w:val="009A2ECB"/>
    <w:rsid w:val="009C1AE4"/>
    <w:rsid w:val="009C5141"/>
    <w:rsid w:val="009D4E57"/>
    <w:rsid w:val="00A257F3"/>
    <w:rsid w:val="00A32682"/>
    <w:rsid w:val="00A70D6E"/>
    <w:rsid w:val="00AD4013"/>
    <w:rsid w:val="00B02753"/>
    <w:rsid w:val="00B110A0"/>
    <w:rsid w:val="00B2531A"/>
    <w:rsid w:val="00B47FAD"/>
    <w:rsid w:val="00B62A85"/>
    <w:rsid w:val="00B6330C"/>
    <w:rsid w:val="00B969F7"/>
    <w:rsid w:val="00C04CE2"/>
    <w:rsid w:val="00C428BD"/>
    <w:rsid w:val="00C66266"/>
    <w:rsid w:val="00C74C02"/>
    <w:rsid w:val="00CC2E0C"/>
    <w:rsid w:val="00CF368E"/>
    <w:rsid w:val="00D1104B"/>
    <w:rsid w:val="00D42FE9"/>
    <w:rsid w:val="00D62602"/>
    <w:rsid w:val="00D83A48"/>
    <w:rsid w:val="00DB2512"/>
    <w:rsid w:val="00E4259F"/>
    <w:rsid w:val="00E875C2"/>
    <w:rsid w:val="00F124D4"/>
    <w:rsid w:val="00F20909"/>
    <w:rsid w:val="00F22B25"/>
    <w:rsid w:val="00F24926"/>
    <w:rsid w:val="00FB2975"/>
    <w:rsid w:val="00FE07C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DB038E"/>
  <w15:chartTrackingRefBased/>
  <w15:docId w15:val="{1C33E63B-7B77-4897-B132-BA8357F75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BF8"/>
    <w:pPr>
      <w:spacing w:before="120" w:after="240"/>
    </w:pPr>
  </w:style>
  <w:style w:type="paragraph" w:styleId="Heading1">
    <w:name w:val="heading 1"/>
    <w:basedOn w:val="Normal"/>
    <w:next w:val="Normal"/>
    <w:link w:val="Heading1Char"/>
    <w:uiPriority w:val="9"/>
    <w:qFormat/>
    <w:rsid w:val="00C428BD"/>
    <w:pPr>
      <w:keepNext/>
      <w:keepLines/>
      <w:spacing w:before="360" w:after="80"/>
      <w:outlineLvl w:val="0"/>
    </w:pPr>
    <w:rPr>
      <w:rFonts w:asciiTheme="majorHAnsi" w:eastAsiaTheme="majorEastAsia" w:hAnsiTheme="majorHAnsi" w:cstheme="majorBidi"/>
      <w:sz w:val="40"/>
      <w:szCs w:val="40"/>
    </w:rPr>
  </w:style>
  <w:style w:type="paragraph" w:styleId="Heading2">
    <w:name w:val="heading 2"/>
    <w:basedOn w:val="Normal"/>
    <w:next w:val="Normal"/>
    <w:link w:val="Heading2Char"/>
    <w:uiPriority w:val="9"/>
    <w:unhideWhenUsed/>
    <w:qFormat/>
    <w:rsid w:val="00C428BD"/>
    <w:pPr>
      <w:keepNext/>
      <w:keepLines/>
      <w:spacing w:before="160" w:after="80"/>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C428BD"/>
    <w:pPr>
      <w:keepNext/>
      <w:keepLines/>
      <w:spacing w:before="160" w:after="80"/>
      <w:outlineLvl w:val="2"/>
    </w:pPr>
    <w:rPr>
      <w:rFonts w:eastAsiaTheme="majorEastAsia" w:cstheme="majorBidi"/>
      <w:sz w:val="28"/>
      <w:szCs w:val="28"/>
    </w:rPr>
  </w:style>
  <w:style w:type="paragraph" w:styleId="Heading4">
    <w:name w:val="heading 4"/>
    <w:basedOn w:val="Normal"/>
    <w:next w:val="Normal"/>
    <w:link w:val="Heading4Char"/>
    <w:uiPriority w:val="9"/>
    <w:semiHidden/>
    <w:unhideWhenUsed/>
    <w:qFormat/>
    <w:rsid w:val="008E4D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4D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4DC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4DC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4DC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4DC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28BD"/>
    <w:rPr>
      <w:rFonts w:asciiTheme="majorHAnsi" w:eastAsiaTheme="majorEastAsia" w:hAnsiTheme="majorHAnsi" w:cstheme="majorBidi"/>
      <w:sz w:val="40"/>
      <w:szCs w:val="40"/>
    </w:rPr>
  </w:style>
  <w:style w:type="character" w:customStyle="1" w:styleId="Heading2Char">
    <w:name w:val="Heading 2 Char"/>
    <w:basedOn w:val="DefaultParagraphFont"/>
    <w:link w:val="Heading2"/>
    <w:uiPriority w:val="9"/>
    <w:rsid w:val="00C428BD"/>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rsid w:val="00C428BD"/>
    <w:rPr>
      <w:rFonts w:eastAsiaTheme="majorEastAsia" w:cstheme="majorBidi"/>
      <w:sz w:val="28"/>
      <w:szCs w:val="28"/>
    </w:rPr>
  </w:style>
  <w:style w:type="character" w:customStyle="1" w:styleId="Heading4Char">
    <w:name w:val="Heading 4 Char"/>
    <w:basedOn w:val="DefaultParagraphFont"/>
    <w:link w:val="Heading4"/>
    <w:uiPriority w:val="9"/>
    <w:semiHidden/>
    <w:rsid w:val="008E4D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4D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4D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4D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4D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4DCA"/>
    <w:rPr>
      <w:rFonts w:eastAsiaTheme="majorEastAsia" w:cstheme="majorBidi"/>
      <w:color w:val="272727" w:themeColor="text1" w:themeTint="D8"/>
    </w:rPr>
  </w:style>
  <w:style w:type="paragraph" w:styleId="Title">
    <w:name w:val="Title"/>
    <w:basedOn w:val="Normal"/>
    <w:next w:val="Normal"/>
    <w:link w:val="TitleChar"/>
    <w:uiPriority w:val="10"/>
    <w:qFormat/>
    <w:rsid w:val="008E4DC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4D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4DC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4D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4DC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E4DCA"/>
    <w:rPr>
      <w:i/>
      <w:iCs/>
      <w:color w:val="404040" w:themeColor="text1" w:themeTint="BF"/>
    </w:rPr>
  </w:style>
  <w:style w:type="paragraph" w:styleId="ListParagraph">
    <w:name w:val="List Paragraph"/>
    <w:basedOn w:val="Normal"/>
    <w:uiPriority w:val="34"/>
    <w:qFormat/>
    <w:rsid w:val="008E4DCA"/>
    <w:pPr>
      <w:ind w:left="720"/>
      <w:contextualSpacing/>
    </w:pPr>
  </w:style>
  <w:style w:type="character" w:styleId="IntenseEmphasis">
    <w:name w:val="Intense Emphasis"/>
    <w:basedOn w:val="DefaultParagraphFont"/>
    <w:uiPriority w:val="21"/>
    <w:qFormat/>
    <w:rsid w:val="008E4DCA"/>
    <w:rPr>
      <w:i/>
      <w:iCs/>
      <w:color w:val="0F4761" w:themeColor="accent1" w:themeShade="BF"/>
    </w:rPr>
  </w:style>
  <w:style w:type="paragraph" w:styleId="IntenseQuote">
    <w:name w:val="Intense Quote"/>
    <w:basedOn w:val="Normal"/>
    <w:next w:val="Normal"/>
    <w:link w:val="IntenseQuoteChar"/>
    <w:uiPriority w:val="30"/>
    <w:qFormat/>
    <w:rsid w:val="008E4D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4DCA"/>
    <w:rPr>
      <w:i/>
      <w:iCs/>
      <w:color w:val="0F4761" w:themeColor="accent1" w:themeShade="BF"/>
    </w:rPr>
  </w:style>
  <w:style w:type="character" w:styleId="IntenseReference">
    <w:name w:val="Intense Reference"/>
    <w:basedOn w:val="DefaultParagraphFont"/>
    <w:uiPriority w:val="32"/>
    <w:qFormat/>
    <w:rsid w:val="008E4DCA"/>
    <w:rPr>
      <w:b/>
      <w:bCs/>
      <w:smallCaps/>
      <w:color w:val="0F4761" w:themeColor="accent1" w:themeShade="BF"/>
      <w:spacing w:val="5"/>
    </w:rPr>
  </w:style>
  <w:style w:type="paragraph" w:styleId="Header">
    <w:name w:val="header"/>
    <w:basedOn w:val="Normal"/>
    <w:link w:val="HeaderChar"/>
    <w:uiPriority w:val="99"/>
    <w:unhideWhenUsed/>
    <w:rsid w:val="008E4DCA"/>
    <w:pPr>
      <w:tabs>
        <w:tab w:val="center" w:pos="4513"/>
        <w:tab w:val="right" w:pos="9026"/>
      </w:tabs>
    </w:pPr>
  </w:style>
  <w:style w:type="character" w:customStyle="1" w:styleId="HeaderChar">
    <w:name w:val="Header Char"/>
    <w:basedOn w:val="DefaultParagraphFont"/>
    <w:link w:val="Header"/>
    <w:uiPriority w:val="99"/>
    <w:rsid w:val="008E4DCA"/>
  </w:style>
  <w:style w:type="paragraph" w:styleId="Footer">
    <w:name w:val="footer"/>
    <w:basedOn w:val="Normal"/>
    <w:link w:val="FooterChar"/>
    <w:uiPriority w:val="99"/>
    <w:unhideWhenUsed/>
    <w:rsid w:val="008E4DCA"/>
    <w:pPr>
      <w:tabs>
        <w:tab w:val="center" w:pos="4513"/>
        <w:tab w:val="right" w:pos="9026"/>
      </w:tabs>
    </w:pPr>
  </w:style>
  <w:style w:type="character" w:customStyle="1" w:styleId="FooterChar">
    <w:name w:val="Footer Char"/>
    <w:basedOn w:val="DefaultParagraphFont"/>
    <w:link w:val="Footer"/>
    <w:uiPriority w:val="99"/>
    <w:rsid w:val="008E4DCA"/>
  </w:style>
  <w:style w:type="character" w:styleId="Hyperlink">
    <w:name w:val="Hyperlink"/>
    <w:basedOn w:val="DefaultParagraphFont"/>
    <w:uiPriority w:val="99"/>
    <w:unhideWhenUsed/>
    <w:rsid w:val="006B3171"/>
    <w:rPr>
      <w:color w:val="467886" w:themeColor="hyperlink"/>
      <w:u w:val="single"/>
    </w:rPr>
  </w:style>
  <w:style w:type="character" w:styleId="UnresolvedMention">
    <w:name w:val="Unresolved Mention"/>
    <w:basedOn w:val="DefaultParagraphFont"/>
    <w:uiPriority w:val="99"/>
    <w:semiHidden/>
    <w:unhideWhenUsed/>
    <w:rsid w:val="006B3171"/>
    <w:rPr>
      <w:color w:val="605E5C"/>
      <w:shd w:val="clear" w:color="auto" w:fill="E1DFDD"/>
    </w:rPr>
  </w:style>
  <w:style w:type="table" w:styleId="TableGrid">
    <w:name w:val="Table Grid"/>
    <w:basedOn w:val="TableNormal"/>
    <w:uiPriority w:val="39"/>
    <w:rsid w:val="00472C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E18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207045">
      <w:bodyDiv w:val="1"/>
      <w:marLeft w:val="0"/>
      <w:marRight w:val="0"/>
      <w:marTop w:val="0"/>
      <w:marBottom w:val="0"/>
      <w:divBdr>
        <w:top w:val="none" w:sz="0" w:space="0" w:color="auto"/>
        <w:left w:val="none" w:sz="0" w:space="0" w:color="auto"/>
        <w:bottom w:val="none" w:sz="0" w:space="0" w:color="auto"/>
        <w:right w:val="none" w:sz="0" w:space="0" w:color="auto"/>
      </w:divBdr>
      <w:divsChild>
        <w:div w:id="356975553">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152990418">
              <w:blockQuote w:val="1"/>
              <w:marLeft w:val="0"/>
              <w:marRight w:val="0"/>
              <w:marTop w:val="120"/>
              <w:marBottom w:val="120"/>
              <w:divBdr>
                <w:top w:val="none" w:sz="0" w:space="0" w:color="auto"/>
                <w:left w:val="none" w:sz="0" w:space="0" w:color="auto"/>
                <w:bottom w:val="none" w:sz="0" w:space="0" w:color="auto"/>
                <w:right w:val="none" w:sz="0" w:space="0" w:color="auto"/>
              </w:divBdr>
              <w:divsChild>
                <w:div w:id="406652265">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1164737847">
                      <w:blockQuote w:val="1"/>
                      <w:marLeft w:val="0"/>
                      <w:marRight w:val="0"/>
                      <w:marTop w:val="120"/>
                      <w:marBottom w:val="120"/>
                      <w:divBdr>
                        <w:top w:val="none" w:sz="0" w:space="0" w:color="auto"/>
                        <w:left w:val="none" w:sz="0" w:space="0" w:color="auto"/>
                        <w:bottom w:val="none" w:sz="0" w:space="0" w:color="auto"/>
                        <w:right w:val="none" w:sz="0" w:space="0" w:color="auto"/>
                      </w:divBdr>
                    </w:div>
                    <w:div w:id="1103455268">
                      <w:blockQuote w:val="1"/>
                      <w:marLeft w:val="0"/>
                      <w:marRight w:val="0"/>
                      <w:marTop w:val="120"/>
                      <w:marBottom w:val="120"/>
                      <w:divBdr>
                        <w:top w:val="none" w:sz="0" w:space="0" w:color="auto"/>
                        <w:left w:val="none" w:sz="0" w:space="0" w:color="auto"/>
                        <w:bottom w:val="none" w:sz="0" w:space="0" w:color="auto"/>
                        <w:right w:val="none" w:sz="0" w:space="0" w:color="auto"/>
                      </w:divBdr>
                    </w:div>
                    <w:div w:id="1425372446">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584685958">
              <w:blockQuote w:val="1"/>
              <w:marLeft w:val="0"/>
              <w:marRight w:val="0"/>
              <w:marTop w:val="120"/>
              <w:marBottom w:val="120"/>
              <w:divBdr>
                <w:top w:val="none" w:sz="0" w:space="0" w:color="auto"/>
                <w:left w:val="none" w:sz="0" w:space="0" w:color="auto"/>
                <w:bottom w:val="none" w:sz="0" w:space="0" w:color="auto"/>
                <w:right w:val="none" w:sz="0" w:space="0" w:color="auto"/>
              </w:divBdr>
              <w:divsChild>
                <w:div w:id="893781181">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510418869">
                      <w:blockQuote w:val="1"/>
                      <w:marLeft w:val="0"/>
                      <w:marRight w:val="0"/>
                      <w:marTop w:val="120"/>
                      <w:marBottom w:val="120"/>
                      <w:divBdr>
                        <w:top w:val="none" w:sz="0" w:space="0" w:color="auto"/>
                        <w:left w:val="none" w:sz="0" w:space="0" w:color="auto"/>
                        <w:bottom w:val="none" w:sz="0" w:space="0" w:color="auto"/>
                        <w:right w:val="none" w:sz="0" w:space="0" w:color="auto"/>
                      </w:divBdr>
                    </w:div>
                    <w:div w:id="972489192">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128738541">
              <w:blockQuote w:val="1"/>
              <w:marLeft w:val="0"/>
              <w:marRight w:val="0"/>
              <w:marTop w:val="120"/>
              <w:marBottom w:val="120"/>
              <w:divBdr>
                <w:top w:val="none" w:sz="0" w:space="0" w:color="auto"/>
                <w:left w:val="none" w:sz="0" w:space="0" w:color="auto"/>
                <w:bottom w:val="none" w:sz="0" w:space="0" w:color="auto"/>
                <w:right w:val="none" w:sz="0" w:space="0" w:color="auto"/>
              </w:divBdr>
              <w:divsChild>
                <w:div w:id="409355367">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616717013">
                      <w:blockQuote w:val="1"/>
                      <w:marLeft w:val="0"/>
                      <w:marRight w:val="0"/>
                      <w:marTop w:val="120"/>
                      <w:marBottom w:val="120"/>
                      <w:divBdr>
                        <w:top w:val="none" w:sz="0" w:space="0" w:color="auto"/>
                        <w:left w:val="none" w:sz="0" w:space="0" w:color="auto"/>
                        <w:bottom w:val="none" w:sz="0" w:space="0" w:color="auto"/>
                        <w:right w:val="none" w:sz="0" w:space="0" w:color="auto"/>
                      </w:divBdr>
                    </w:div>
                    <w:div w:id="1334138693">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2060281518">
              <w:blockQuote w:val="1"/>
              <w:marLeft w:val="0"/>
              <w:marRight w:val="0"/>
              <w:marTop w:val="120"/>
              <w:marBottom w:val="120"/>
              <w:divBdr>
                <w:top w:val="none" w:sz="0" w:space="0" w:color="auto"/>
                <w:left w:val="none" w:sz="0" w:space="0" w:color="auto"/>
                <w:bottom w:val="none" w:sz="0" w:space="0" w:color="auto"/>
                <w:right w:val="none" w:sz="0" w:space="0" w:color="auto"/>
              </w:divBdr>
              <w:divsChild>
                <w:div w:id="1813793690">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1128743667">
                      <w:blockQuote w:val="1"/>
                      <w:marLeft w:val="0"/>
                      <w:marRight w:val="0"/>
                      <w:marTop w:val="120"/>
                      <w:marBottom w:val="120"/>
                      <w:divBdr>
                        <w:top w:val="none" w:sz="0" w:space="0" w:color="auto"/>
                        <w:left w:val="none" w:sz="0" w:space="0" w:color="auto"/>
                        <w:bottom w:val="none" w:sz="0" w:space="0" w:color="auto"/>
                        <w:right w:val="none" w:sz="0" w:space="0" w:color="auto"/>
                      </w:divBdr>
                    </w:div>
                    <w:div w:id="318270798">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926574650">
              <w:blockQuote w:val="1"/>
              <w:marLeft w:val="0"/>
              <w:marRight w:val="0"/>
              <w:marTop w:val="120"/>
              <w:marBottom w:val="120"/>
              <w:divBdr>
                <w:top w:val="none" w:sz="0" w:space="0" w:color="auto"/>
                <w:left w:val="none" w:sz="0" w:space="0" w:color="auto"/>
                <w:bottom w:val="none" w:sz="0" w:space="0" w:color="auto"/>
                <w:right w:val="none" w:sz="0" w:space="0" w:color="auto"/>
              </w:divBdr>
            </w:div>
            <w:div w:id="615142962">
              <w:blockQuote w:val="1"/>
              <w:marLeft w:val="0"/>
              <w:marRight w:val="0"/>
              <w:marTop w:val="120"/>
              <w:marBottom w:val="120"/>
              <w:divBdr>
                <w:top w:val="none" w:sz="0" w:space="0" w:color="auto"/>
                <w:left w:val="none" w:sz="0" w:space="0" w:color="auto"/>
                <w:bottom w:val="none" w:sz="0" w:space="0" w:color="auto"/>
                <w:right w:val="none" w:sz="0" w:space="0" w:color="auto"/>
              </w:divBdr>
            </w:div>
            <w:div w:id="1611627939">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163200879">
      <w:bodyDiv w:val="1"/>
      <w:marLeft w:val="0"/>
      <w:marRight w:val="0"/>
      <w:marTop w:val="0"/>
      <w:marBottom w:val="0"/>
      <w:divBdr>
        <w:top w:val="none" w:sz="0" w:space="0" w:color="auto"/>
        <w:left w:val="none" w:sz="0" w:space="0" w:color="auto"/>
        <w:bottom w:val="none" w:sz="0" w:space="0" w:color="auto"/>
        <w:right w:val="none" w:sz="0" w:space="0" w:color="auto"/>
      </w:divBdr>
      <w:divsChild>
        <w:div w:id="1944995596">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153764511">
              <w:blockQuote w:val="1"/>
              <w:marLeft w:val="0"/>
              <w:marRight w:val="0"/>
              <w:marTop w:val="120"/>
              <w:marBottom w:val="120"/>
              <w:divBdr>
                <w:top w:val="none" w:sz="0" w:space="0" w:color="auto"/>
                <w:left w:val="none" w:sz="0" w:space="0" w:color="auto"/>
                <w:bottom w:val="none" w:sz="0" w:space="0" w:color="auto"/>
                <w:right w:val="none" w:sz="0" w:space="0" w:color="auto"/>
              </w:divBdr>
              <w:divsChild>
                <w:div w:id="1651325809">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1595430197">
                      <w:blockQuote w:val="1"/>
                      <w:marLeft w:val="0"/>
                      <w:marRight w:val="0"/>
                      <w:marTop w:val="120"/>
                      <w:marBottom w:val="120"/>
                      <w:divBdr>
                        <w:top w:val="none" w:sz="0" w:space="0" w:color="auto"/>
                        <w:left w:val="none" w:sz="0" w:space="0" w:color="auto"/>
                        <w:bottom w:val="none" w:sz="0" w:space="0" w:color="auto"/>
                        <w:right w:val="none" w:sz="0" w:space="0" w:color="auto"/>
                      </w:divBdr>
                    </w:div>
                    <w:div w:id="2141721747">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450322649">
              <w:blockQuote w:val="1"/>
              <w:marLeft w:val="0"/>
              <w:marRight w:val="0"/>
              <w:marTop w:val="120"/>
              <w:marBottom w:val="120"/>
              <w:divBdr>
                <w:top w:val="none" w:sz="0" w:space="0" w:color="auto"/>
                <w:left w:val="none" w:sz="0" w:space="0" w:color="auto"/>
                <w:bottom w:val="none" w:sz="0" w:space="0" w:color="auto"/>
                <w:right w:val="none" w:sz="0" w:space="0" w:color="auto"/>
              </w:divBdr>
            </w:div>
            <w:div w:id="1337197975">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437481988">
      <w:bodyDiv w:val="1"/>
      <w:marLeft w:val="0"/>
      <w:marRight w:val="0"/>
      <w:marTop w:val="0"/>
      <w:marBottom w:val="0"/>
      <w:divBdr>
        <w:top w:val="none" w:sz="0" w:space="0" w:color="auto"/>
        <w:left w:val="none" w:sz="0" w:space="0" w:color="auto"/>
        <w:bottom w:val="none" w:sz="0" w:space="0" w:color="auto"/>
        <w:right w:val="none" w:sz="0" w:space="0" w:color="auto"/>
      </w:divBdr>
      <w:divsChild>
        <w:div w:id="201135314">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1962683779">
              <w:blockQuote w:val="1"/>
              <w:marLeft w:val="0"/>
              <w:marRight w:val="0"/>
              <w:marTop w:val="120"/>
              <w:marBottom w:val="120"/>
              <w:divBdr>
                <w:top w:val="none" w:sz="0" w:space="0" w:color="auto"/>
                <w:left w:val="none" w:sz="0" w:space="0" w:color="auto"/>
                <w:bottom w:val="none" w:sz="0" w:space="0" w:color="auto"/>
                <w:right w:val="none" w:sz="0" w:space="0" w:color="auto"/>
              </w:divBdr>
              <w:divsChild>
                <w:div w:id="852303780">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204105117">
                      <w:blockQuote w:val="1"/>
                      <w:marLeft w:val="0"/>
                      <w:marRight w:val="0"/>
                      <w:marTop w:val="120"/>
                      <w:marBottom w:val="120"/>
                      <w:divBdr>
                        <w:top w:val="none" w:sz="0" w:space="0" w:color="auto"/>
                        <w:left w:val="none" w:sz="0" w:space="0" w:color="auto"/>
                        <w:bottom w:val="none" w:sz="0" w:space="0" w:color="auto"/>
                        <w:right w:val="none" w:sz="0" w:space="0" w:color="auto"/>
                      </w:divBdr>
                    </w:div>
                    <w:div w:id="1378969428">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477038343">
              <w:blockQuote w:val="1"/>
              <w:marLeft w:val="0"/>
              <w:marRight w:val="0"/>
              <w:marTop w:val="120"/>
              <w:marBottom w:val="120"/>
              <w:divBdr>
                <w:top w:val="none" w:sz="0" w:space="0" w:color="auto"/>
                <w:left w:val="none" w:sz="0" w:space="0" w:color="auto"/>
                <w:bottom w:val="none" w:sz="0" w:space="0" w:color="auto"/>
                <w:right w:val="none" w:sz="0" w:space="0" w:color="auto"/>
              </w:divBdr>
            </w:div>
            <w:div w:id="541791807">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2018071935">
      <w:bodyDiv w:val="1"/>
      <w:marLeft w:val="0"/>
      <w:marRight w:val="0"/>
      <w:marTop w:val="0"/>
      <w:marBottom w:val="0"/>
      <w:divBdr>
        <w:top w:val="none" w:sz="0" w:space="0" w:color="auto"/>
        <w:left w:val="none" w:sz="0" w:space="0" w:color="auto"/>
        <w:bottom w:val="none" w:sz="0" w:space="0" w:color="auto"/>
        <w:right w:val="none" w:sz="0" w:space="0" w:color="auto"/>
      </w:divBdr>
      <w:divsChild>
        <w:div w:id="850532507">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1865290957">
              <w:blockQuote w:val="1"/>
              <w:marLeft w:val="0"/>
              <w:marRight w:val="0"/>
              <w:marTop w:val="120"/>
              <w:marBottom w:val="120"/>
              <w:divBdr>
                <w:top w:val="none" w:sz="0" w:space="0" w:color="auto"/>
                <w:left w:val="none" w:sz="0" w:space="0" w:color="auto"/>
                <w:bottom w:val="none" w:sz="0" w:space="0" w:color="auto"/>
                <w:right w:val="none" w:sz="0" w:space="0" w:color="auto"/>
              </w:divBdr>
              <w:divsChild>
                <w:div w:id="1519194476">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1611667072">
                      <w:blockQuote w:val="1"/>
                      <w:marLeft w:val="0"/>
                      <w:marRight w:val="0"/>
                      <w:marTop w:val="120"/>
                      <w:marBottom w:val="120"/>
                      <w:divBdr>
                        <w:top w:val="none" w:sz="0" w:space="0" w:color="auto"/>
                        <w:left w:val="none" w:sz="0" w:space="0" w:color="auto"/>
                        <w:bottom w:val="none" w:sz="0" w:space="0" w:color="auto"/>
                        <w:right w:val="none" w:sz="0" w:space="0" w:color="auto"/>
                      </w:divBdr>
                    </w:div>
                    <w:div w:id="916553529">
                      <w:blockQuote w:val="1"/>
                      <w:marLeft w:val="0"/>
                      <w:marRight w:val="0"/>
                      <w:marTop w:val="120"/>
                      <w:marBottom w:val="120"/>
                      <w:divBdr>
                        <w:top w:val="none" w:sz="0" w:space="0" w:color="auto"/>
                        <w:left w:val="none" w:sz="0" w:space="0" w:color="auto"/>
                        <w:bottom w:val="none" w:sz="0" w:space="0" w:color="auto"/>
                        <w:right w:val="none" w:sz="0" w:space="0" w:color="auto"/>
                      </w:divBdr>
                    </w:div>
                    <w:div w:id="1738092296">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2102558511">
              <w:blockQuote w:val="1"/>
              <w:marLeft w:val="0"/>
              <w:marRight w:val="0"/>
              <w:marTop w:val="120"/>
              <w:marBottom w:val="120"/>
              <w:divBdr>
                <w:top w:val="none" w:sz="0" w:space="0" w:color="auto"/>
                <w:left w:val="none" w:sz="0" w:space="0" w:color="auto"/>
                <w:bottom w:val="none" w:sz="0" w:space="0" w:color="auto"/>
                <w:right w:val="none" w:sz="0" w:space="0" w:color="auto"/>
              </w:divBdr>
              <w:divsChild>
                <w:div w:id="1103186932">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366955988">
                      <w:blockQuote w:val="1"/>
                      <w:marLeft w:val="0"/>
                      <w:marRight w:val="0"/>
                      <w:marTop w:val="120"/>
                      <w:marBottom w:val="120"/>
                      <w:divBdr>
                        <w:top w:val="none" w:sz="0" w:space="0" w:color="auto"/>
                        <w:left w:val="none" w:sz="0" w:space="0" w:color="auto"/>
                        <w:bottom w:val="none" w:sz="0" w:space="0" w:color="auto"/>
                        <w:right w:val="none" w:sz="0" w:space="0" w:color="auto"/>
                      </w:divBdr>
                    </w:div>
                    <w:div w:id="1793356880">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611325894">
              <w:blockQuote w:val="1"/>
              <w:marLeft w:val="0"/>
              <w:marRight w:val="0"/>
              <w:marTop w:val="120"/>
              <w:marBottom w:val="120"/>
              <w:divBdr>
                <w:top w:val="none" w:sz="0" w:space="0" w:color="auto"/>
                <w:left w:val="none" w:sz="0" w:space="0" w:color="auto"/>
                <w:bottom w:val="none" w:sz="0" w:space="0" w:color="auto"/>
                <w:right w:val="none" w:sz="0" w:space="0" w:color="auto"/>
              </w:divBdr>
              <w:divsChild>
                <w:div w:id="164631060">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1385249090">
                      <w:blockQuote w:val="1"/>
                      <w:marLeft w:val="0"/>
                      <w:marRight w:val="0"/>
                      <w:marTop w:val="120"/>
                      <w:marBottom w:val="120"/>
                      <w:divBdr>
                        <w:top w:val="none" w:sz="0" w:space="0" w:color="auto"/>
                        <w:left w:val="none" w:sz="0" w:space="0" w:color="auto"/>
                        <w:bottom w:val="none" w:sz="0" w:space="0" w:color="auto"/>
                        <w:right w:val="none" w:sz="0" w:space="0" w:color="auto"/>
                      </w:divBdr>
                    </w:div>
                    <w:div w:id="540673278">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313751484">
              <w:blockQuote w:val="1"/>
              <w:marLeft w:val="0"/>
              <w:marRight w:val="0"/>
              <w:marTop w:val="120"/>
              <w:marBottom w:val="120"/>
              <w:divBdr>
                <w:top w:val="none" w:sz="0" w:space="0" w:color="auto"/>
                <w:left w:val="none" w:sz="0" w:space="0" w:color="auto"/>
                <w:bottom w:val="none" w:sz="0" w:space="0" w:color="auto"/>
                <w:right w:val="none" w:sz="0" w:space="0" w:color="auto"/>
              </w:divBdr>
              <w:divsChild>
                <w:div w:id="840238232">
                  <w:blockQuote w:val="1"/>
                  <w:marLeft w:val="720"/>
                  <w:marRight w:val="0"/>
                  <w:marTop w:val="120"/>
                  <w:marBottom w:val="120"/>
                  <w:divBdr>
                    <w:top w:val="none" w:sz="0" w:space="0" w:color="auto"/>
                    <w:left w:val="none" w:sz="0" w:space="0" w:color="auto"/>
                    <w:bottom w:val="none" w:sz="0" w:space="0" w:color="auto"/>
                    <w:right w:val="none" w:sz="0" w:space="0" w:color="auto"/>
                  </w:divBdr>
                  <w:divsChild>
                    <w:div w:id="596257918">
                      <w:blockQuote w:val="1"/>
                      <w:marLeft w:val="0"/>
                      <w:marRight w:val="0"/>
                      <w:marTop w:val="120"/>
                      <w:marBottom w:val="120"/>
                      <w:divBdr>
                        <w:top w:val="none" w:sz="0" w:space="0" w:color="auto"/>
                        <w:left w:val="none" w:sz="0" w:space="0" w:color="auto"/>
                        <w:bottom w:val="none" w:sz="0" w:space="0" w:color="auto"/>
                        <w:right w:val="none" w:sz="0" w:space="0" w:color="auto"/>
                      </w:divBdr>
                    </w:div>
                    <w:div w:id="2073505520">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498184371">
              <w:blockQuote w:val="1"/>
              <w:marLeft w:val="0"/>
              <w:marRight w:val="0"/>
              <w:marTop w:val="120"/>
              <w:marBottom w:val="120"/>
              <w:divBdr>
                <w:top w:val="none" w:sz="0" w:space="0" w:color="auto"/>
                <w:left w:val="none" w:sz="0" w:space="0" w:color="auto"/>
                <w:bottom w:val="none" w:sz="0" w:space="0" w:color="auto"/>
                <w:right w:val="none" w:sz="0" w:space="0" w:color="auto"/>
              </w:divBdr>
            </w:div>
            <w:div w:id="1523668511">
              <w:blockQuote w:val="1"/>
              <w:marLeft w:val="0"/>
              <w:marRight w:val="0"/>
              <w:marTop w:val="120"/>
              <w:marBottom w:val="120"/>
              <w:divBdr>
                <w:top w:val="none" w:sz="0" w:space="0" w:color="auto"/>
                <w:left w:val="none" w:sz="0" w:space="0" w:color="auto"/>
                <w:bottom w:val="none" w:sz="0" w:space="0" w:color="auto"/>
                <w:right w:val="none" w:sz="0" w:space="0" w:color="auto"/>
              </w:divBdr>
            </w:div>
            <w:div w:id="257561396">
              <w:blockQuote w:val="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ascat.tas.gov.au/__data/assets/word_doc/0008/792494/Administrators-Annual-Report-V1-1-September-2024-updated.docx" TargetMode="External"/><Relationship Id="rId13" Type="http://schemas.openxmlformats.org/officeDocument/2006/relationships/hyperlink" Target="https://www.legislation.tas.gov.au/view/whole/html/inforce/current/act-1995-044?query=((PrintType%3D%22act.reprint%22+AND+Amending%3C%3E%22pure%22+AND+PitValid%3D%40pointInTime(20260430000000))+OR+(PrintType%3D%22act.reprint%22+AND+Amending%3D%22pure%22+AND+PitValid%3D%40pointInTime(20260430000000))+OR+(PrintType%3D%22reprint%22+AND+Amending%3C%3E%22pure%22+AND+PitValid%3D%40pointInTime(20260430000000))+OR+(PrintType%3D%22reprint%22+AND+Amending%3D%22pure%22+AND+PitValid%3D%40pointInTime(20260430000000)))+AND+Title%3D(%22guardianship%22)&amp;dQuery=Document+Types%3D%22%3Cspan+class%3D%27dq-highlight%27%3EActs%3C%2Fspan%3E%2C+%3Cspan+class%3D%27dq-highlight%27%3EAmending+Acts%3C%2Fspan%3E%2C+%3Cspan+class%3D%27dq-highlight%27%3ESRs%3C%2Fspan%3E%2C+%3Cspan+class%3D%27dq-highlight%27%3EAmending+SRs%3C%2Fspan%3E%22%2C+Search+In%3D%22%3Cspan+class%3D%27dq-highlight%27%3ETitle%3C%2Fspan%3E%22%2C+All+Words%3D%22%3Cspan+class%3D%27dq-highlight%27%3Eguardianship%3C%2Fspan%3E%22%2C+Point+In+Time%3D%22%3Cspan+class%3D%27dq-highlight%27%3E30%2F04%2F2026%3C%2Fspan%3E%22"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s://www.tascat.tas.gov.au/__data/assets/word_doc/0008/792494/Administrators-Annual-Report-V1-1-September-2024-updated.docx" TargetMode="External"/><Relationship Id="rId12" Type="http://schemas.openxmlformats.org/officeDocument/2006/relationships/hyperlink" Target="https://www.legislation.tas.gov.au/view/whole/html/inforce/current/act-1995-044?query=((PrintType%3D%22act.reprint%22+AND+Amending%3C%3E%22pure%22+AND+PitValid%3D%40pointInTime(20260430000000))+OR+(PrintType%3D%22act.reprint%22+AND+Amending%3D%22pure%22+AND+PitValid%3D%40pointInTime(20260430000000))+OR+(PrintType%3D%22reprint%22+AND+Amending%3C%3E%22pure%22+AND+PitValid%3D%40pointInTime(20260430000000))+OR+(PrintType%3D%22reprint%22+AND+Amending%3D%22pure%22+AND+PitValid%3D%40pointInTime(20260430000000)))+AND+Title%3D(%22guardianship%22)&amp;dQuery=Document+Types%3D%22%3Cspan+class%3D%27dq-highlight%27%3EActs%3C%2Fspan%3E%2C+%3Cspan+class%3D%27dq-highlight%27%3EAmending+Acts%3C%2Fspan%3E%2C+%3Cspan+class%3D%27dq-highlight%27%3ESRs%3C%2Fspan%3E%2C+%3Cspan+class%3D%27dq-highlight%27%3EAmending+SRs%3C%2Fspan%3E%22%2C+Search+In%3D%22%3Cspan+class%3D%27dq-highlight%27%3ETitle%3C%2Fspan%3E%22%2C+All+Words%3D%22%3Cspan+class%3D%27dq-highlight%27%3Eguardianship%3C%2Fspan%3E%22%2C+Point+In+Time%3D%22%3Cspan+class%3D%27dq-highlight%27%3E30%2F04%2F2026%3C%2Fspan%3E%22"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ascat.tas.gov.au/__data/assets/word_doc/0008/792494/Administrators-Annual-Report-V1-1-September-2024-updated.docx" TargetMode="External"/><Relationship Id="rId5" Type="http://schemas.openxmlformats.org/officeDocument/2006/relationships/footnotes" Target="footnotes.xml"/><Relationship Id="rId15" Type="http://schemas.openxmlformats.org/officeDocument/2006/relationships/hyperlink" Target="https://www.legislation.tas.gov.au/view/html/inforce/current/act-1995-044?query=((PrintType%3D%22act.reprint%22+AND+Amending%3C%3E%22pure%22+AND+PitValid%3D%40pointInTime(20260430000000))+OR+(PrintType%3D%22act.reprint%22+AND+Amending%3D%22pure%22+AND+PitValid%3D%40pointInTime(20260430000000))+OR+(PrintType%3D%22reprint%22+AND+Amending%3C%3E%22pure%22+AND+PitValid%3D%40pointInTime(20260430000000))+OR+(PrintType%3D%22reprint%22+AND+Amending%3D%22pure%22+AND+PitValid%3D%40pointInTime(20260430000000)))+AND+Title%3D(%22guardianship%22)&amp;dQuery=Document+Types%3D%22%3Cspan+class%3D%27dq-highlight%27%3EActs%3C%2Fspan%3E%2C+%3Cspan+class%3D%27dq-highlight%27%3EAmending+Acts%3C%2Fspan%3E%2C+%3Cspan+class%3D%27dq-highlight%27%3ESRs%3C%2Fspan%3E%2C+%3Cspan+class%3D%27dq-highlight%27%3EAmending+SRs%3C%2Fspan%3E%22%2C+Search+In%3D%22%3Cspan+class%3D%27dq-highlight%27%3ETitle%3C%2Fspan%3E%22%2C+All+Words%3D%22%3Cspan+class%3D%27dq-highlight%27%3Eguardianship%3C%2Fspan%3E%22%2C+Point+In+Time%3D%22%3Cspan+class%3D%27dq-highlight%27%3E30%2F04%2F2026%3C%2Fspan%3E%22" TargetMode="External"/><Relationship Id="rId23" Type="http://schemas.openxmlformats.org/officeDocument/2006/relationships/theme" Target="theme/theme1.xml"/><Relationship Id="rId10" Type="http://schemas.openxmlformats.org/officeDocument/2006/relationships/hyperlink" Target="https://www.tascat.tas.gov.au/__data/assets/word_doc/0008/792494/Administrators-Annual-Report-V1-1-September-2024-updated.docx"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tascat.tas.gov.au/__data/assets/word_doc/0008/792494/Administrators-Annual-Report-V1-1-September-2024-updated.docx" TargetMode="External"/><Relationship Id="rId14" Type="http://schemas.openxmlformats.org/officeDocument/2006/relationships/hyperlink" Target="https://www.legislation.tas.gov.au/view/html/inforce/current/act-1995-044?query=((PrintType%3D%22act.reprint%22+AND+Amending%3C%3E%22pure%22+AND+PitValid%3D%40pointInTime(20260430000000))+OR+(PrintType%3D%22act.reprint%22+AND+Amending%3D%22pure%22+AND+PitValid%3D%40pointInTime(20260430000000))+OR+(PrintType%3D%22reprint%22+AND+Amending%3C%3E%22pure%22+AND+PitValid%3D%40pointInTime(20260430000000))+OR+(PrintType%3D%22reprint%22+AND+Amending%3D%22pure%22+AND+PitValid%3D%40pointInTime(20260430000000)))+AND+Title%3D(%22guardianship%22)&amp;dQuery=Document+Types%3D%22%3Cspan+class%3D%27dq-highlight%27%3EActs%3C%2Fspan%3E%2C+%3Cspan+class%3D%27dq-highlight%27%3EAmending+Acts%3C%2Fspan%3E%2C+%3Cspan+class%3D%27dq-highlight%27%3ESRs%3C%2Fspan%3E%2C+%3Cspan+class%3D%27dq-highlight%27%3EAmending+SRs%3C%2Fspan%3E%22%2C+Search+In%3D%22%3Cspan+class%3D%27dq-highlight%27%3ETitle%3C%2Fspan%3E%22%2C+All+Words%3D%22%3Cspan+class%3D%27dq-highlight%27%3Eguardianship%3C%2Fspan%3E%22%2C+Point+In+Time%3D%22%3Cspan+class%3D%27dq-highlight%27%3E30%2F04%2F2026%3C%2Fspan%3E%22"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tascat@tascat.tas.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6</Pages>
  <Words>2194</Words>
  <Characters>12510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 Jarrod</dc:creator>
  <cp:keywords/>
  <dc:description/>
  <cp:lastModifiedBy>Harris, Hilary</cp:lastModifiedBy>
  <cp:revision>4</cp:revision>
  <dcterms:created xsi:type="dcterms:W3CDTF">2026-08-25T00:40:00Z</dcterms:created>
  <dcterms:modified xsi:type="dcterms:W3CDTF">2026-08-26T23:35:00Z</dcterms:modified>
</cp:coreProperties>
</file>