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4411" w14:textId="77777777" w:rsidR="00EE0197" w:rsidRDefault="00EE0197" w:rsidP="00EE0197">
      <w:pPr>
        <w:spacing w:after="240"/>
        <w:jc w:val="center"/>
        <w:rPr>
          <w:rFonts w:ascii="Gill Sans MT" w:hAnsi="Gill Sans MT"/>
          <w:b/>
          <w:sz w:val="24"/>
          <w:szCs w:val="24"/>
        </w:rPr>
      </w:pPr>
    </w:p>
    <w:p w14:paraId="579F07A8" w14:textId="77777777" w:rsidR="00EE0197" w:rsidRDefault="00EE0197" w:rsidP="00EE0197">
      <w:pPr>
        <w:spacing w:after="24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GENERAL DIVISION</w:t>
      </w:r>
    </w:p>
    <w:p w14:paraId="0AF59CD0" w14:textId="77777777" w:rsidR="001D2971" w:rsidRDefault="001D2971" w:rsidP="00EE0197">
      <w:pPr>
        <w:spacing w:after="24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PERSONAL COMPENSATION STREAM</w:t>
      </w:r>
    </w:p>
    <w:p w14:paraId="0B8D96CE" w14:textId="77777777" w:rsidR="001D2971" w:rsidRDefault="001D2971" w:rsidP="00EE0197">
      <w:pPr>
        <w:spacing w:after="240"/>
        <w:jc w:val="center"/>
        <w:rPr>
          <w:rFonts w:ascii="Gill Sans MT" w:hAnsi="Gill Sans MT"/>
          <w:b/>
          <w:sz w:val="24"/>
          <w:szCs w:val="24"/>
        </w:rPr>
      </w:pPr>
      <w:r w:rsidRPr="001D2971">
        <w:rPr>
          <w:rFonts w:ascii="Gill Sans MT" w:hAnsi="Gill Sans MT"/>
          <w:b/>
          <w:sz w:val="24"/>
          <w:szCs w:val="24"/>
        </w:rPr>
        <w:t xml:space="preserve">PRACTICE DIRECTION </w:t>
      </w:r>
      <w:r w:rsidR="00EE0197">
        <w:rPr>
          <w:rFonts w:ascii="Gill Sans MT" w:hAnsi="Gill Sans MT"/>
          <w:b/>
          <w:sz w:val="24"/>
          <w:szCs w:val="24"/>
        </w:rPr>
        <w:t xml:space="preserve">1: </w:t>
      </w:r>
      <w:r w:rsidRPr="00EE0197">
        <w:rPr>
          <w:rFonts w:ascii="Gill Sans MT" w:hAnsi="Gill Sans MT"/>
          <w:b/>
          <w:i/>
          <w:sz w:val="24"/>
          <w:szCs w:val="24"/>
        </w:rPr>
        <w:t>Workers Rehabilitation and Compensation Act</w:t>
      </w:r>
      <w:r>
        <w:rPr>
          <w:rFonts w:ascii="Gill Sans MT" w:hAnsi="Gill Sans MT"/>
          <w:b/>
          <w:sz w:val="24"/>
          <w:szCs w:val="24"/>
        </w:rPr>
        <w:t xml:space="preserve"> 1988</w:t>
      </w:r>
    </w:p>
    <w:p w14:paraId="51DF1C00" w14:textId="77777777" w:rsidR="003D6D92" w:rsidRPr="003D6D92" w:rsidRDefault="00411FB8" w:rsidP="003D6D92">
      <w:pPr>
        <w:spacing w:after="24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This Practice Direction is </w:t>
      </w:r>
      <w:r w:rsidR="001D2971" w:rsidRPr="003D6D92">
        <w:rPr>
          <w:rFonts w:ascii="Gill Sans MT" w:hAnsi="Gill Sans MT"/>
          <w:sz w:val="24"/>
          <w:szCs w:val="24"/>
        </w:rPr>
        <w:t xml:space="preserve">made pursuant to </w:t>
      </w:r>
      <w:r w:rsidR="00EE0197">
        <w:rPr>
          <w:rFonts w:ascii="Gill Sans MT" w:hAnsi="Gill Sans MT"/>
          <w:sz w:val="24"/>
          <w:szCs w:val="24"/>
        </w:rPr>
        <w:t>s</w:t>
      </w:r>
      <w:r w:rsidR="001D2971" w:rsidRPr="003D6D92">
        <w:rPr>
          <w:rFonts w:ascii="Gill Sans MT" w:hAnsi="Gill Sans MT"/>
          <w:sz w:val="24"/>
          <w:szCs w:val="24"/>
        </w:rPr>
        <w:t xml:space="preserve">93 of the </w:t>
      </w:r>
      <w:r w:rsidR="001D2971" w:rsidRPr="003D6D92">
        <w:rPr>
          <w:rFonts w:ascii="Gill Sans MT" w:hAnsi="Gill Sans MT"/>
          <w:i/>
          <w:sz w:val="24"/>
          <w:szCs w:val="24"/>
        </w:rPr>
        <w:t xml:space="preserve">Tasmanian Civil and Administrative Tribunal Act </w:t>
      </w:r>
      <w:r w:rsidR="001D2971" w:rsidRPr="00EE0197">
        <w:rPr>
          <w:rFonts w:ascii="Gill Sans MT" w:hAnsi="Gill Sans MT"/>
          <w:sz w:val="24"/>
          <w:szCs w:val="24"/>
        </w:rPr>
        <w:t>202</w:t>
      </w:r>
      <w:r w:rsidR="00024CC4">
        <w:rPr>
          <w:rFonts w:ascii="Gill Sans MT" w:hAnsi="Gill Sans MT"/>
          <w:sz w:val="24"/>
          <w:szCs w:val="24"/>
        </w:rPr>
        <w:t>0</w:t>
      </w:r>
      <w:r w:rsidR="001D2971" w:rsidRPr="003D6D92">
        <w:rPr>
          <w:rFonts w:ascii="Gill Sans MT" w:hAnsi="Gill Sans MT"/>
          <w:i/>
          <w:sz w:val="24"/>
          <w:szCs w:val="24"/>
        </w:rPr>
        <w:t>.</w:t>
      </w:r>
    </w:p>
    <w:p w14:paraId="77420A8E" w14:textId="77777777" w:rsidR="00663944" w:rsidRDefault="00663944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EE0197">
        <w:rPr>
          <w:rFonts w:ascii="Gill Sans MT" w:hAnsi="Gill Sans MT"/>
          <w:sz w:val="24"/>
          <w:szCs w:val="24"/>
        </w:rPr>
        <w:t>Referrals must be filed with the Tribunal by</w:t>
      </w:r>
      <w:r w:rsidR="00411FB8">
        <w:rPr>
          <w:rFonts w:ascii="Gill Sans MT" w:hAnsi="Gill Sans MT"/>
          <w:sz w:val="24"/>
          <w:szCs w:val="24"/>
        </w:rPr>
        <w:t xml:space="preserve"> either</w:t>
      </w:r>
      <w:r w:rsidRPr="00EE0197">
        <w:rPr>
          <w:rFonts w:ascii="Gill Sans MT" w:hAnsi="Gill Sans MT"/>
          <w:sz w:val="24"/>
          <w:szCs w:val="24"/>
        </w:rPr>
        <w:t>:</w:t>
      </w:r>
    </w:p>
    <w:p w14:paraId="3B9BF2A1" w14:textId="77777777" w:rsidR="00EE0197" w:rsidRPr="00EE0197" w:rsidRDefault="005B657E" w:rsidP="00EE0197">
      <w:pPr>
        <w:pStyle w:val="BodyText"/>
        <w:numPr>
          <w:ilvl w:val="0"/>
          <w:numId w:val="2"/>
        </w:numPr>
        <w:spacing w:after="240"/>
        <w:ind w:left="1418" w:hanging="709"/>
        <w:rPr>
          <w:rFonts w:ascii="Gill Sans MT" w:hAnsi="Gill Sans MT"/>
          <w:i/>
          <w:szCs w:val="24"/>
        </w:rPr>
      </w:pPr>
      <w:r w:rsidRPr="003D6D92">
        <w:rPr>
          <w:rFonts w:ascii="Gill Sans MT" w:hAnsi="Gill Sans MT"/>
          <w:szCs w:val="24"/>
        </w:rPr>
        <w:t>p</w:t>
      </w:r>
      <w:r w:rsidR="00663944" w:rsidRPr="003D6D92">
        <w:rPr>
          <w:rFonts w:ascii="Gill Sans MT" w:hAnsi="Gill Sans MT"/>
          <w:szCs w:val="24"/>
        </w:rPr>
        <w:t>osting them to:</w:t>
      </w:r>
    </w:p>
    <w:p w14:paraId="68B7ECDE" w14:textId="77777777" w:rsidR="00EE0197" w:rsidRDefault="00663944" w:rsidP="00EE0197">
      <w:pPr>
        <w:pStyle w:val="BodyText"/>
        <w:ind w:left="1418"/>
        <w:rPr>
          <w:rFonts w:ascii="Gill Sans MT" w:hAnsi="Gill Sans MT"/>
          <w:szCs w:val="24"/>
        </w:rPr>
      </w:pPr>
      <w:r w:rsidRPr="003D6D92">
        <w:rPr>
          <w:rFonts w:ascii="Gill Sans MT" w:hAnsi="Gill Sans MT"/>
          <w:szCs w:val="24"/>
        </w:rPr>
        <w:t xml:space="preserve">The </w:t>
      </w:r>
      <w:r w:rsidR="00EE0197">
        <w:rPr>
          <w:rFonts w:ascii="Gill Sans MT" w:hAnsi="Gill Sans MT"/>
          <w:szCs w:val="24"/>
        </w:rPr>
        <w:t xml:space="preserve">Deputy </w:t>
      </w:r>
      <w:r w:rsidRPr="003D6D92">
        <w:rPr>
          <w:rFonts w:ascii="Gill Sans MT" w:hAnsi="Gill Sans MT"/>
          <w:szCs w:val="24"/>
        </w:rPr>
        <w:t>Registrar</w:t>
      </w:r>
    </w:p>
    <w:p w14:paraId="7306ED71" w14:textId="77777777" w:rsidR="00EE0197" w:rsidRDefault="00EE0197" w:rsidP="00EE0197">
      <w:pPr>
        <w:pStyle w:val="BodyText"/>
        <w:ind w:left="1418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Tasmanian Civil and Administrative Tribunal</w:t>
      </w:r>
    </w:p>
    <w:p w14:paraId="6BCFFE5C" w14:textId="77777777" w:rsidR="00EE0197" w:rsidRDefault="00EE0197" w:rsidP="00EE0197">
      <w:pPr>
        <w:pStyle w:val="BodyText"/>
        <w:ind w:left="1418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Personal Compensation Stream</w:t>
      </w:r>
    </w:p>
    <w:p w14:paraId="255E086F" w14:textId="77777777" w:rsidR="00EE0197" w:rsidRPr="00EE0197" w:rsidRDefault="00EE0197" w:rsidP="00EE0197">
      <w:pPr>
        <w:pStyle w:val="BodyText"/>
        <w:ind w:left="1418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GPO Box 1311</w:t>
      </w:r>
    </w:p>
    <w:p w14:paraId="23764B4A" w14:textId="77777777" w:rsidR="00663944" w:rsidRPr="00EE0197" w:rsidRDefault="00EE0197" w:rsidP="00EE0197">
      <w:pPr>
        <w:pStyle w:val="BodyText"/>
        <w:spacing w:after="240"/>
        <w:ind w:left="1418"/>
        <w:rPr>
          <w:rFonts w:ascii="Gill Sans MT" w:hAnsi="Gill Sans MT"/>
          <w:i/>
          <w:szCs w:val="24"/>
        </w:rPr>
      </w:pPr>
      <w:r>
        <w:rPr>
          <w:rFonts w:ascii="Gill Sans MT" w:hAnsi="Gill Sans MT"/>
          <w:szCs w:val="24"/>
        </w:rPr>
        <w:t>HOBART  TAS  7000</w:t>
      </w:r>
    </w:p>
    <w:p w14:paraId="0C331BDF" w14:textId="77777777" w:rsidR="00EE0197" w:rsidRPr="00EE0197" w:rsidRDefault="005B657E" w:rsidP="00EE0197">
      <w:pPr>
        <w:pStyle w:val="BodyText"/>
        <w:numPr>
          <w:ilvl w:val="0"/>
          <w:numId w:val="2"/>
        </w:numPr>
        <w:spacing w:after="240"/>
        <w:ind w:left="1418" w:hanging="709"/>
        <w:rPr>
          <w:rFonts w:ascii="Gill Sans MT" w:hAnsi="Gill Sans MT"/>
          <w:b/>
          <w:szCs w:val="24"/>
        </w:rPr>
      </w:pPr>
      <w:r w:rsidRPr="003D6D92">
        <w:rPr>
          <w:rFonts w:ascii="Gill Sans MT" w:hAnsi="Gill Sans MT"/>
          <w:szCs w:val="24"/>
        </w:rPr>
        <w:t xml:space="preserve">leaving them with the </w:t>
      </w:r>
      <w:r w:rsidR="00EE0197">
        <w:rPr>
          <w:rFonts w:ascii="Gill Sans MT" w:hAnsi="Gill Sans MT"/>
          <w:szCs w:val="24"/>
        </w:rPr>
        <w:t>r</w:t>
      </w:r>
      <w:r w:rsidR="00663944" w:rsidRPr="003D6D92">
        <w:rPr>
          <w:rFonts w:ascii="Gill Sans MT" w:hAnsi="Gill Sans MT"/>
          <w:szCs w:val="24"/>
        </w:rPr>
        <w:t>eceptionist at</w:t>
      </w:r>
      <w:r w:rsidR="00EE0197">
        <w:rPr>
          <w:rFonts w:ascii="Gill Sans MT" w:hAnsi="Gill Sans MT"/>
          <w:szCs w:val="24"/>
        </w:rPr>
        <w:t>:</w:t>
      </w:r>
    </w:p>
    <w:p w14:paraId="1FC0E027" w14:textId="77777777" w:rsidR="00EE0197" w:rsidRDefault="00EE0197" w:rsidP="00EE0197">
      <w:pPr>
        <w:pStyle w:val="BodyText"/>
        <w:ind w:left="775" w:firstLine="643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Tasmanian Civil and Administrative Tribunal</w:t>
      </w:r>
    </w:p>
    <w:p w14:paraId="4563FD1A" w14:textId="77777777" w:rsidR="00EE0197" w:rsidRDefault="00EE0197" w:rsidP="00EE0197">
      <w:pPr>
        <w:pStyle w:val="BodyText"/>
        <w:ind w:left="775" w:firstLine="643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Personal Compensation Stream</w:t>
      </w:r>
    </w:p>
    <w:p w14:paraId="27F1AC7B" w14:textId="77777777" w:rsidR="00EE0197" w:rsidRPr="00EE0197" w:rsidRDefault="00EE0197" w:rsidP="00EE0197">
      <w:pPr>
        <w:pStyle w:val="BodyText"/>
        <w:ind w:left="775" w:firstLine="643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38 Barrack Street</w:t>
      </w:r>
    </w:p>
    <w:p w14:paraId="7D72C2F2" w14:textId="77777777" w:rsidR="00EE0197" w:rsidRPr="00EE0197" w:rsidRDefault="00EE0197" w:rsidP="00EE0197">
      <w:pPr>
        <w:pStyle w:val="BodyText"/>
        <w:spacing w:after="240"/>
        <w:ind w:left="775" w:firstLine="643"/>
        <w:rPr>
          <w:rFonts w:ascii="Gill Sans MT" w:hAnsi="Gill Sans MT"/>
          <w:i/>
          <w:szCs w:val="24"/>
        </w:rPr>
      </w:pPr>
      <w:r>
        <w:rPr>
          <w:rFonts w:ascii="Gill Sans MT" w:hAnsi="Gill Sans MT"/>
          <w:szCs w:val="24"/>
        </w:rPr>
        <w:t>HOBART</w:t>
      </w:r>
    </w:p>
    <w:p w14:paraId="36ADBD11" w14:textId="77777777" w:rsidR="00663944" w:rsidRPr="003D6D92" w:rsidRDefault="00663944" w:rsidP="00EE0197">
      <w:pPr>
        <w:pStyle w:val="BodyText"/>
        <w:numPr>
          <w:ilvl w:val="0"/>
          <w:numId w:val="2"/>
        </w:numPr>
        <w:spacing w:after="240"/>
        <w:ind w:left="1418" w:hanging="709"/>
        <w:rPr>
          <w:rFonts w:ascii="Gill Sans MT" w:hAnsi="Gill Sans MT"/>
          <w:szCs w:val="24"/>
        </w:rPr>
      </w:pPr>
      <w:r w:rsidRPr="003D6D92">
        <w:rPr>
          <w:rFonts w:ascii="Gill Sans MT" w:hAnsi="Gill Sans MT"/>
          <w:szCs w:val="24"/>
        </w:rPr>
        <w:t xml:space="preserve">sending them </w:t>
      </w:r>
      <w:r w:rsidR="00317167" w:rsidRPr="003D6D92">
        <w:rPr>
          <w:rFonts w:ascii="Gill Sans MT" w:hAnsi="Gill Sans MT"/>
          <w:szCs w:val="24"/>
        </w:rPr>
        <w:t xml:space="preserve">by email </w:t>
      </w:r>
      <w:r w:rsidR="00EE0197">
        <w:rPr>
          <w:rFonts w:ascii="Gill Sans MT" w:hAnsi="Gill Sans MT"/>
          <w:szCs w:val="24"/>
        </w:rPr>
        <w:t xml:space="preserve">to: </w:t>
      </w:r>
      <w:hyperlink r:id="rId7" w:history="1">
        <w:r w:rsidR="00EE0197" w:rsidRPr="009C31AA">
          <w:rPr>
            <w:rStyle w:val="Hyperlink"/>
            <w:rFonts w:ascii="Gill Sans MT" w:hAnsi="Gill Sans MT"/>
            <w:szCs w:val="24"/>
          </w:rPr>
          <w:t>wrc.personalcompensation@tascat.tas.gov.au</w:t>
        </w:r>
      </w:hyperlink>
      <w:r w:rsidR="00EE0197">
        <w:rPr>
          <w:rFonts w:ascii="Gill Sans MT" w:hAnsi="Gill Sans MT"/>
          <w:szCs w:val="24"/>
        </w:rPr>
        <w:t xml:space="preserve"> </w:t>
      </w:r>
    </w:p>
    <w:p w14:paraId="423B1875" w14:textId="77777777" w:rsidR="003D6D92" w:rsidRPr="00EE0197" w:rsidRDefault="00193A3F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EE0197">
        <w:rPr>
          <w:rFonts w:ascii="Gill Sans MT" w:hAnsi="Gill Sans MT"/>
          <w:sz w:val="24"/>
          <w:szCs w:val="24"/>
        </w:rPr>
        <w:t xml:space="preserve">Parties must use the Tribunal’s forms which can be accessed at </w:t>
      </w:r>
      <w:hyperlink r:id="rId8" w:history="1">
        <w:r w:rsidR="00EE0197" w:rsidRPr="009C31AA">
          <w:rPr>
            <w:rStyle w:val="Hyperlink"/>
            <w:rFonts w:ascii="Gill Sans MT" w:hAnsi="Gill Sans MT"/>
            <w:sz w:val="24"/>
            <w:szCs w:val="24"/>
          </w:rPr>
          <w:t>www.tascat.tas.gov.au</w:t>
        </w:r>
      </w:hyperlink>
      <w:r w:rsidR="00EE0197">
        <w:rPr>
          <w:rFonts w:ascii="Gill Sans MT" w:hAnsi="Gill Sans MT"/>
          <w:sz w:val="24"/>
          <w:szCs w:val="24"/>
        </w:rPr>
        <w:t xml:space="preserve"> </w:t>
      </w:r>
      <w:r w:rsidR="001D2971" w:rsidRPr="00EE0197">
        <w:rPr>
          <w:rFonts w:ascii="Gill Sans MT" w:hAnsi="Gill Sans MT"/>
          <w:sz w:val="24"/>
          <w:szCs w:val="24"/>
        </w:rPr>
        <w:t xml:space="preserve">as approved by the President pursuant to </w:t>
      </w:r>
      <w:r w:rsidR="00EE0197">
        <w:rPr>
          <w:rFonts w:ascii="Gill Sans MT" w:hAnsi="Gill Sans MT"/>
          <w:sz w:val="24"/>
          <w:szCs w:val="24"/>
        </w:rPr>
        <w:t>s</w:t>
      </w:r>
      <w:r w:rsidR="001D2971" w:rsidRPr="00EE0197">
        <w:rPr>
          <w:rFonts w:ascii="Gill Sans MT" w:hAnsi="Gill Sans MT"/>
          <w:sz w:val="24"/>
          <w:szCs w:val="24"/>
        </w:rPr>
        <w:t xml:space="preserve">42(2) of the </w:t>
      </w:r>
      <w:r w:rsidR="001D2971" w:rsidRPr="00EE0197">
        <w:rPr>
          <w:rFonts w:ascii="Gill Sans MT" w:hAnsi="Gill Sans MT"/>
          <w:i/>
          <w:sz w:val="24"/>
          <w:szCs w:val="24"/>
        </w:rPr>
        <w:t>Workers Rehabilitation and Compensation Act</w:t>
      </w:r>
      <w:r w:rsidR="001D2971" w:rsidRPr="00EE0197">
        <w:rPr>
          <w:rFonts w:ascii="Gill Sans MT" w:hAnsi="Gill Sans MT"/>
          <w:sz w:val="24"/>
          <w:szCs w:val="24"/>
        </w:rPr>
        <w:t xml:space="preserve"> 1988</w:t>
      </w:r>
      <w:r w:rsidR="00EE0197">
        <w:rPr>
          <w:rFonts w:ascii="Gill Sans MT" w:hAnsi="Gill Sans MT"/>
          <w:sz w:val="24"/>
          <w:szCs w:val="24"/>
        </w:rPr>
        <w:t xml:space="preserve"> (the Act)</w:t>
      </w:r>
      <w:r w:rsidR="001D2971" w:rsidRPr="00EE0197">
        <w:rPr>
          <w:rFonts w:ascii="Gill Sans MT" w:hAnsi="Gill Sans MT"/>
          <w:sz w:val="24"/>
          <w:szCs w:val="24"/>
        </w:rPr>
        <w:t>.</w:t>
      </w:r>
    </w:p>
    <w:p w14:paraId="70260DD4" w14:textId="77777777" w:rsidR="003D6D92" w:rsidRPr="00EE0197" w:rsidRDefault="00BC454A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EE0197">
        <w:rPr>
          <w:rFonts w:ascii="Gill Sans MT" w:hAnsi="Gill Sans MT"/>
          <w:sz w:val="24"/>
          <w:szCs w:val="24"/>
        </w:rPr>
        <w:t>T</w:t>
      </w:r>
      <w:r w:rsidR="004D3551" w:rsidRPr="00EE0197">
        <w:rPr>
          <w:rFonts w:ascii="Gill Sans MT" w:hAnsi="Gill Sans MT"/>
          <w:sz w:val="24"/>
          <w:szCs w:val="24"/>
        </w:rPr>
        <w:t>he claim form and the initial workers compensation medical certificate</w:t>
      </w:r>
      <w:r w:rsidR="00193A3F" w:rsidRPr="00EE0197">
        <w:rPr>
          <w:rFonts w:ascii="Gill Sans MT" w:hAnsi="Gill Sans MT"/>
          <w:sz w:val="24"/>
          <w:szCs w:val="24"/>
        </w:rPr>
        <w:t xml:space="preserve"> must be attached</w:t>
      </w:r>
      <w:r w:rsidR="00EE0197">
        <w:rPr>
          <w:rFonts w:ascii="Gill Sans MT" w:hAnsi="Gill Sans MT"/>
          <w:sz w:val="24"/>
          <w:szCs w:val="24"/>
        </w:rPr>
        <w:t xml:space="preserve"> to any</w:t>
      </w:r>
      <w:r w:rsidRPr="00EE0197">
        <w:rPr>
          <w:rFonts w:ascii="Gill Sans MT" w:hAnsi="Gill Sans MT"/>
          <w:sz w:val="24"/>
          <w:szCs w:val="24"/>
        </w:rPr>
        <w:t xml:space="preserve"> referral filed with the Tribunal.</w:t>
      </w:r>
    </w:p>
    <w:p w14:paraId="7EED693C" w14:textId="77777777" w:rsidR="003D6D92" w:rsidRPr="00EE0197" w:rsidRDefault="00193A3F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EE0197">
        <w:rPr>
          <w:rFonts w:ascii="Gill Sans MT" w:hAnsi="Gill Sans MT"/>
          <w:sz w:val="24"/>
          <w:szCs w:val="24"/>
        </w:rPr>
        <w:t xml:space="preserve">The referral must include the names and residential addresses of all the parties. </w:t>
      </w:r>
    </w:p>
    <w:p w14:paraId="74EB204D" w14:textId="77777777" w:rsidR="003D6D92" w:rsidRPr="00EE0197" w:rsidRDefault="00BC454A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EE0197">
        <w:rPr>
          <w:rFonts w:ascii="Gill Sans MT" w:hAnsi="Gill Sans MT"/>
          <w:sz w:val="24"/>
          <w:szCs w:val="24"/>
        </w:rPr>
        <w:t>A</w:t>
      </w:r>
      <w:r w:rsidR="00317167" w:rsidRPr="00EE0197">
        <w:rPr>
          <w:rFonts w:ascii="Gill Sans MT" w:hAnsi="Gill Sans MT"/>
          <w:sz w:val="24"/>
          <w:szCs w:val="24"/>
        </w:rPr>
        <w:t>ll email correspondence and telephone calls must be directed to the Tribunal staff member allocated to that referral</w:t>
      </w:r>
      <w:r w:rsidR="00EE0197">
        <w:rPr>
          <w:rFonts w:ascii="Gill Sans MT" w:hAnsi="Gill Sans MT"/>
          <w:sz w:val="24"/>
          <w:szCs w:val="24"/>
        </w:rPr>
        <w:t>, whose name will be noted on the Tribunal correspondence</w:t>
      </w:r>
      <w:r w:rsidR="00317167" w:rsidRPr="00EE0197">
        <w:rPr>
          <w:rFonts w:ascii="Gill Sans MT" w:hAnsi="Gill Sans MT"/>
          <w:sz w:val="24"/>
          <w:szCs w:val="24"/>
        </w:rPr>
        <w:t xml:space="preserve">. </w:t>
      </w:r>
      <w:r w:rsidR="00EE0197">
        <w:rPr>
          <w:rFonts w:ascii="Gill Sans MT" w:hAnsi="Gill Sans MT"/>
          <w:sz w:val="24"/>
          <w:szCs w:val="24"/>
        </w:rPr>
        <w:t xml:space="preserve"> </w:t>
      </w:r>
      <w:r w:rsidR="00317167" w:rsidRPr="00EE0197">
        <w:rPr>
          <w:rFonts w:ascii="Gill Sans MT" w:hAnsi="Gill Sans MT"/>
          <w:sz w:val="24"/>
          <w:szCs w:val="24"/>
        </w:rPr>
        <w:t xml:space="preserve">All email correspondence must also be copied to </w:t>
      </w:r>
      <w:hyperlink r:id="rId9" w:history="1">
        <w:r w:rsidR="0048208F" w:rsidRPr="002B6D5A">
          <w:rPr>
            <w:rStyle w:val="Hyperlink"/>
            <w:rFonts w:ascii="Gill Sans MT" w:hAnsi="Gill Sans MT"/>
            <w:sz w:val="24"/>
            <w:szCs w:val="24"/>
          </w:rPr>
          <w:t>wrc.personalcompensation@tascat.tas.gov.au</w:t>
        </w:r>
      </w:hyperlink>
      <w:r w:rsidR="00EE0197">
        <w:rPr>
          <w:rFonts w:ascii="Gill Sans MT" w:hAnsi="Gill Sans MT"/>
          <w:sz w:val="24"/>
          <w:szCs w:val="24"/>
        </w:rPr>
        <w:t xml:space="preserve">. </w:t>
      </w:r>
    </w:p>
    <w:p w14:paraId="7B430D66" w14:textId="77777777" w:rsidR="003D6D92" w:rsidRPr="00EE0197" w:rsidRDefault="00BC454A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EE0197">
        <w:rPr>
          <w:rFonts w:ascii="Gill Sans MT" w:hAnsi="Gill Sans MT"/>
          <w:sz w:val="24"/>
          <w:szCs w:val="24"/>
        </w:rPr>
        <w:t>I</w:t>
      </w:r>
      <w:r w:rsidR="00193A3F" w:rsidRPr="00EE0197">
        <w:rPr>
          <w:rFonts w:ascii="Gill Sans MT" w:hAnsi="Gill Sans MT"/>
          <w:sz w:val="24"/>
          <w:szCs w:val="24"/>
        </w:rPr>
        <w:t>f a party wants to receive further correspondence from the Tribunal by electronic means a written request</w:t>
      </w:r>
      <w:r w:rsidRPr="00EE0197">
        <w:rPr>
          <w:rFonts w:ascii="Gill Sans MT" w:hAnsi="Gill Sans MT"/>
          <w:sz w:val="24"/>
          <w:szCs w:val="24"/>
        </w:rPr>
        <w:t xml:space="preserve"> must</w:t>
      </w:r>
      <w:r w:rsidR="00193A3F" w:rsidRPr="00EE0197">
        <w:rPr>
          <w:rFonts w:ascii="Gill Sans MT" w:hAnsi="Gill Sans MT"/>
          <w:sz w:val="24"/>
          <w:szCs w:val="24"/>
        </w:rPr>
        <w:t xml:space="preserve"> be made to the</w:t>
      </w:r>
      <w:r w:rsidR="0002385C" w:rsidRPr="00EE0197">
        <w:rPr>
          <w:rFonts w:ascii="Gill Sans MT" w:hAnsi="Gill Sans MT"/>
          <w:sz w:val="24"/>
          <w:szCs w:val="24"/>
        </w:rPr>
        <w:t xml:space="preserve"> Tribunal </w:t>
      </w:r>
      <w:r w:rsidR="00193A3F" w:rsidRPr="00EE0197">
        <w:rPr>
          <w:rFonts w:ascii="Gill Sans MT" w:hAnsi="Gill Sans MT"/>
          <w:sz w:val="24"/>
          <w:szCs w:val="24"/>
        </w:rPr>
        <w:t>and a written response will be provided.</w:t>
      </w:r>
    </w:p>
    <w:p w14:paraId="566603C1" w14:textId="77777777" w:rsidR="003D6D92" w:rsidRPr="00EE0197" w:rsidRDefault="00BC454A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EE0197">
        <w:rPr>
          <w:rFonts w:ascii="Gill Sans MT" w:hAnsi="Gill Sans MT"/>
          <w:sz w:val="24"/>
          <w:szCs w:val="24"/>
        </w:rPr>
        <w:t>C</w:t>
      </w:r>
      <w:r w:rsidR="00317167" w:rsidRPr="00EE0197">
        <w:rPr>
          <w:rFonts w:ascii="Gill Sans MT" w:hAnsi="Gill Sans MT"/>
          <w:sz w:val="24"/>
          <w:szCs w:val="24"/>
        </w:rPr>
        <w:t>opies of all correspondence to the Tribunal must be provided to the other party except in matters that must be kept confidential.</w:t>
      </w:r>
    </w:p>
    <w:p w14:paraId="22AAED24" w14:textId="77777777" w:rsidR="00317167" w:rsidRPr="00EE0197" w:rsidRDefault="00317167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EE0197">
        <w:rPr>
          <w:rFonts w:ascii="Gill Sans MT" w:hAnsi="Gill Sans MT"/>
          <w:sz w:val="24"/>
          <w:szCs w:val="24"/>
        </w:rPr>
        <w:lastRenderedPageBreak/>
        <w:t>At least 3 days prior to a s81A or s77AB hearing the following must be filed and served on t</w:t>
      </w:r>
      <w:r w:rsidR="006A1BCB" w:rsidRPr="00EE0197">
        <w:rPr>
          <w:rFonts w:ascii="Gill Sans MT" w:hAnsi="Gill Sans MT"/>
          <w:sz w:val="24"/>
          <w:szCs w:val="24"/>
        </w:rPr>
        <w:t>he Tribunal and the other party:</w:t>
      </w:r>
    </w:p>
    <w:p w14:paraId="12583262" w14:textId="77777777" w:rsidR="00317167" w:rsidRPr="003D6D92" w:rsidRDefault="00317167" w:rsidP="001D297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240" w:lineRule="auto"/>
        <w:ind w:left="1276" w:hanging="567"/>
        <w:jc w:val="both"/>
        <w:rPr>
          <w:rFonts w:ascii="Gill Sans MT" w:hAnsi="Gill Sans MT"/>
          <w:sz w:val="24"/>
          <w:szCs w:val="24"/>
        </w:rPr>
      </w:pPr>
      <w:r w:rsidRPr="003D6D92">
        <w:rPr>
          <w:rFonts w:ascii="Gill Sans MT" w:hAnsi="Gill Sans MT"/>
          <w:sz w:val="24"/>
          <w:szCs w:val="24"/>
        </w:rPr>
        <w:t>Any evidence to be adduced by or on behalf of the worker.</w:t>
      </w:r>
    </w:p>
    <w:p w14:paraId="5C9184D5" w14:textId="77777777" w:rsidR="003D6D92" w:rsidRDefault="00317167" w:rsidP="003D6D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240" w:lineRule="auto"/>
        <w:ind w:left="1276" w:hanging="567"/>
        <w:jc w:val="both"/>
        <w:rPr>
          <w:rFonts w:ascii="Gill Sans MT" w:hAnsi="Gill Sans MT"/>
          <w:sz w:val="24"/>
          <w:szCs w:val="24"/>
        </w:rPr>
      </w:pPr>
      <w:r w:rsidRPr="003D6D92">
        <w:rPr>
          <w:rFonts w:ascii="Gill Sans MT" w:hAnsi="Gill Sans MT"/>
          <w:sz w:val="24"/>
          <w:szCs w:val="24"/>
        </w:rPr>
        <w:t>Any notice of intention to call or cross-examine a witness.</w:t>
      </w:r>
    </w:p>
    <w:p w14:paraId="55A1D82A" w14:textId="77777777" w:rsidR="003D6D92" w:rsidRPr="003D6D92" w:rsidRDefault="005B657E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3D6D92">
        <w:rPr>
          <w:rFonts w:ascii="Gill Sans MT" w:hAnsi="Gill Sans MT"/>
          <w:sz w:val="24"/>
          <w:szCs w:val="24"/>
        </w:rPr>
        <w:t>All parties served with a notice to attend a conciliation conference must attend unless l</w:t>
      </w:r>
      <w:r w:rsidRPr="00EE0197">
        <w:rPr>
          <w:rFonts w:ascii="Gill Sans MT" w:hAnsi="Gill Sans MT"/>
          <w:sz w:val="24"/>
          <w:szCs w:val="24"/>
        </w:rPr>
        <w:t xml:space="preserve">eave is granted by the conciliator. </w:t>
      </w:r>
    </w:p>
    <w:p w14:paraId="3CEE959B" w14:textId="77777777" w:rsidR="003D6D92" w:rsidRPr="003D6D92" w:rsidRDefault="005B657E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EE0197">
        <w:rPr>
          <w:rFonts w:ascii="Gill Sans MT" w:hAnsi="Gill Sans MT"/>
          <w:sz w:val="24"/>
          <w:szCs w:val="24"/>
        </w:rPr>
        <w:t xml:space="preserve">The parties must complete a resolved in conciliation form with respect to any referral which is settled at a conciliation conference or informally between the parties.  </w:t>
      </w:r>
    </w:p>
    <w:p w14:paraId="27EE26B0" w14:textId="77777777" w:rsidR="003D6D92" w:rsidRDefault="005B657E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3D6D92">
        <w:rPr>
          <w:rFonts w:ascii="Gill Sans MT" w:hAnsi="Gill Sans MT"/>
          <w:sz w:val="24"/>
          <w:szCs w:val="24"/>
        </w:rPr>
        <w:t>In s132A referrals</w:t>
      </w:r>
      <w:r w:rsidR="004D3551" w:rsidRPr="003D6D92">
        <w:rPr>
          <w:rFonts w:ascii="Gill Sans MT" w:hAnsi="Gill Sans MT"/>
          <w:sz w:val="24"/>
          <w:szCs w:val="24"/>
        </w:rPr>
        <w:t xml:space="preserve"> “all in” settlements must come with a breakdown of costs and disbursements and other amounts to be deducted from the settlement sum, as well as the amount the worker will ultimately receive.</w:t>
      </w:r>
    </w:p>
    <w:p w14:paraId="764EFD6F" w14:textId="77777777" w:rsidR="003D6D92" w:rsidRDefault="004D3551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3D6D92">
        <w:rPr>
          <w:rFonts w:ascii="Gill Sans MT" w:hAnsi="Gill Sans MT"/>
          <w:sz w:val="24"/>
          <w:szCs w:val="24"/>
        </w:rPr>
        <w:t>Copies of any reports exchanged between the parties must also be filed with the Tribunal.</w:t>
      </w:r>
    </w:p>
    <w:p w14:paraId="4F5D80D0" w14:textId="77777777" w:rsidR="003D6D92" w:rsidRDefault="0048208F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 application to produce evidentiary material must include reasons for the production.</w:t>
      </w:r>
    </w:p>
    <w:p w14:paraId="51237E35" w14:textId="77777777" w:rsidR="003D6D92" w:rsidRDefault="005B657E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3D6D92">
        <w:rPr>
          <w:rFonts w:ascii="Gill Sans MT" w:hAnsi="Gill Sans MT"/>
          <w:sz w:val="24"/>
          <w:szCs w:val="24"/>
        </w:rPr>
        <w:t>S</w:t>
      </w:r>
      <w:r w:rsidR="00EE0197">
        <w:rPr>
          <w:rFonts w:ascii="Gill Sans MT" w:hAnsi="Gill Sans MT"/>
          <w:sz w:val="24"/>
          <w:szCs w:val="24"/>
        </w:rPr>
        <w:t xml:space="preserve">ection </w:t>
      </w:r>
      <w:r w:rsidRPr="003D6D92">
        <w:rPr>
          <w:rFonts w:ascii="Gill Sans MT" w:hAnsi="Gill Sans MT"/>
          <w:sz w:val="24"/>
          <w:szCs w:val="24"/>
        </w:rPr>
        <w:t xml:space="preserve">60A </w:t>
      </w:r>
      <w:r w:rsidR="00BC454A" w:rsidRPr="003D6D92">
        <w:rPr>
          <w:rFonts w:ascii="Gill Sans MT" w:hAnsi="Gill Sans MT"/>
          <w:sz w:val="24"/>
          <w:szCs w:val="24"/>
        </w:rPr>
        <w:t>a</w:t>
      </w:r>
      <w:r w:rsidRPr="003D6D92">
        <w:rPr>
          <w:rFonts w:ascii="Gill Sans MT" w:hAnsi="Gill Sans MT"/>
          <w:sz w:val="24"/>
          <w:szCs w:val="24"/>
        </w:rPr>
        <w:t>pplications for an i</w:t>
      </w:r>
      <w:r w:rsidR="00BC454A" w:rsidRPr="003D6D92">
        <w:rPr>
          <w:rFonts w:ascii="Gill Sans MT" w:hAnsi="Gill Sans MT"/>
          <w:sz w:val="24"/>
          <w:szCs w:val="24"/>
        </w:rPr>
        <w:t>nterim order must be accompanied by</w:t>
      </w:r>
      <w:r w:rsidRPr="003D6D92">
        <w:rPr>
          <w:rFonts w:ascii="Gill Sans MT" w:hAnsi="Gill Sans MT"/>
          <w:sz w:val="24"/>
          <w:szCs w:val="24"/>
        </w:rPr>
        <w:t xml:space="preserve"> the evidentiary material to be relied upon</w:t>
      </w:r>
      <w:r w:rsidR="00BC454A" w:rsidRPr="003D6D92">
        <w:rPr>
          <w:rFonts w:ascii="Gill Sans MT" w:hAnsi="Gill Sans MT"/>
          <w:sz w:val="24"/>
          <w:szCs w:val="24"/>
        </w:rPr>
        <w:t xml:space="preserve"> must be filed and served before the matter will be listed for hearing.</w:t>
      </w:r>
    </w:p>
    <w:p w14:paraId="59AD9E81" w14:textId="77777777" w:rsidR="003D6D92" w:rsidRDefault="005B657E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jc w:val="both"/>
        <w:rPr>
          <w:rFonts w:ascii="Gill Sans MT" w:hAnsi="Gill Sans MT"/>
          <w:sz w:val="24"/>
          <w:szCs w:val="24"/>
        </w:rPr>
      </w:pPr>
      <w:r w:rsidRPr="003D6D92">
        <w:rPr>
          <w:rFonts w:ascii="Gill Sans MT" w:hAnsi="Gill Sans MT"/>
          <w:sz w:val="24"/>
          <w:szCs w:val="24"/>
        </w:rPr>
        <w:t xml:space="preserve">Parties seeking orders by consent </w:t>
      </w:r>
      <w:r w:rsidR="001D2971" w:rsidRPr="003D6D92">
        <w:rPr>
          <w:rFonts w:ascii="Gill Sans MT" w:hAnsi="Gill Sans MT"/>
          <w:sz w:val="24"/>
          <w:szCs w:val="24"/>
        </w:rPr>
        <w:t xml:space="preserve">pursuant to </w:t>
      </w:r>
      <w:r w:rsidR="00EE0197">
        <w:rPr>
          <w:rFonts w:ascii="Gill Sans MT" w:hAnsi="Gill Sans MT"/>
          <w:sz w:val="24"/>
          <w:szCs w:val="24"/>
        </w:rPr>
        <w:t>s</w:t>
      </w:r>
      <w:r w:rsidR="001D2971" w:rsidRPr="003D6D92">
        <w:rPr>
          <w:rFonts w:ascii="Gill Sans MT" w:hAnsi="Gill Sans MT"/>
          <w:sz w:val="24"/>
          <w:szCs w:val="24"/>
        </w:rPr>
        <w:t xml:space="preserve">61(2) </w:t>
      </w:r>
      <w:r w:rsidRPr="003D6D92">
        <w:rPr>
          <w:rFonts w:ascii="Gill Sans MT" w:hAnsi="Gill Sans MT"/>
          <w:sz w:val="24"/>
          <w:szCs w:val="24"/>
        </w:rPr>
        <w:t>must provide a joint memorandum clearly outlining the form of the orders sought and the section of the Act pursuant to which orders can be made.</w:t>
      </w:r>
    </w:p>
    <w:p w14:paraId="74A6A03D" w14:textId="77777777" w:rsidR="00EE0197" w:rsidRDefault="00BC454A" w:rsidP="00EE0197">
      <w:pPr>
        <w:pStyle w:val="ListParagraph"/>
        <w:numPr>
          <w:ilvl w:val="1"/>
          <w:numId w:val="10"/>
        </w:numPr>
        <w:spacing w:after="240" w:line="240" w:lineRule="auto"/>
        <w:contextualSpacing w:val="0"/>
        <w:rPr>
          <w:rFonts w:ascii="Gill Sans MT" w:hAnsi="Gill Sans MT"/>
          <w:sz w:val="24"/>
          <w:szCs w:val="24"/>
        </w:rPr>
      </w:pPr>
      <w:r w:rsidRPr="003D6D92">
        <w:rPr>
          <w:rFonts w:ascii="Gill Sans MT" w:hAnsi="Gill Sans MT"/>
          <w:sz w:val="24"/>
          <w:szCs w:val="24"/>
        </w:rPr>
        <w:t>E</w:t>
      </w:r>
      <w:r w:rsidR="005B657E" w:rsidRPr="003D6D92">
        <w:rPr>
          <w:rFonts w:ascii="Gill Sans MT" w:hAnsi="Gill Sans MT"/>
          <w:sz w:val="24"/>
          <w:szCs w:val="24"/>
        </w:rPr>
        <w:t xml:space="preserve">xpert witnesses engaged for the purposes of matters before the </w:t>
      </w:r>
      <w:r w:rsidR="00B12DAD">
        <w:rPr>
          <w:rFonts w:ascii="Gill Sans MT" w:hAnsi="Gill Sans MT"/>
          <w:sz w:val="24"/>
          <w:szCs w:val="24"/>
        </w:rPr>
        <w:t xml:space="preserve">General Division </w:t>
      </w:r>
      <w:r w:rsidR="00F1470E">
        <w:rPr>
          <w:rFonts w:ascii="Gill Sans MT" w:hAnsi="Gill Sans MT"/>
          <w:sz w:val="24"/>
          <w:szCs w:val="24"/>
        </w:rPr>
        <w:t xml:space="preserve">of the Tribunal </w:t>
      </w:r>
      <w:r w:rsidRPr="003D6D92">
        <w:rPr>
          <w:rFonts w:ascii="Gill Sans MT" w:hAnsi="Gill Sans MT"/>
          <w:sz w:val="24"/>
          <w:szCs w:val="24"/>
        </w:rPr>
        <w:t xml:space="preserve">must be </w:t>
      </w:r>
      <w:r w:rsidR="005B657E" w:rsidRPr="003D6D92">
        <w:rPr>
          <w:rFonts w:ascii="Gill Sans MT" w:hAnsi="Gill Sans MT"/>
          <w:sz w:val="24"/>
          <w:szCs w:val="24"/>
        </w:rPr>
        <w:t>aware of and agree to comply with the Expert Witness Code of Conduct published as Practice Direction 1 at</w:t>
      </w:r>
      <w:r w:rsidR="00EE0197">
        <w:rPr>
          <w:rFonts w:ascii="Gill Sans MT" w:hAnsi="Gill Sans MT"/>
          <w:sz w:val="24"/>
          <w:szCs w:val="24"/>
        </w:rPr>
        <w:t>:</w:t>
      </w:r>
      <w:r w:rsidR="005B657E" w:rsidRPr="003D6D92">
        <w:rPr>
          <w:rFonts w:ascii="Gill Sans MT" w:hAnsi="Gill Sans MT"/>
          <w:sz w:val="24"/>
          <w:szCs w:val="24"/>
        </w:rPr>
        <w:t xml:space="preserve"> </w:t>
      </w:r>
    </w:p>
    <w:p w14:paraId="375E3B26" w14:textId="77777777" w:rsidR="00411FB8" w:rsidRPr="00FF00EC" w:rsidRDefault="00FF00EC" w:rsidP="00411FB8">
      <w:pPr>
        <w:spacing w:after="240" w:line="240" w:lineRule="auto"/>
        <w:rPr>
          <w:rFonts w:ascii="Gill Sans MT" w:hAnsi="Gill Sans MT"/>
          <w:sz w:val="24"/>
          <w:szCs w:val="24"/>
        </w:rPr>
      </w:pPr>
      <w:hyperlink r:id="rId10" w:history="1">
        <w:r w:rsidR="00B12DAD" w:rsidRPr="00FF00EC">
          <w:rPr>
            <w:rFonts w:ascii="Gill Sans MT" w:hAnsi="Gill Sans MT"/>
            <w:color w:val="0000FF"/>
            <w:u w:val="single"/>
          </w:rPr>
          <w:t>Practice-Direction-1-Expert-Witness-Code-of-Conduct.pdf (tascat.tas.gov.au)</w:t>
        </w:r>
      </w:hyperlink>
    </w:p>
    <w:p w14:paraId="350FE55D" w14:textId="77777777" w:rsidR="00411FB8" w:rsidRDefault="00411FB8" w:rsidP="00411FB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Malcolm Schyvens</w:t>
      </w:r>
    </w:p>
    <w:p w14:paraId="3DDF0258" w14:textId="77777777" w:rsidR="00411FB8" w:rsidRDefault="00411FB8" w:rsidP="00411FB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President – TASCAT</w:t>
      </w:r>
    </w:p>
    <w:p w14:paraId="2F69B07A" w14:textId="63682807" w:rsidR="00411FB8" w:rsidRDefault="00411FB8" w:rsidP="00411FB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DD48576" w14:textId="20BEA50C" w:rsidR="00FF00EC" w:rsidRPr="00411FB8" w:rsidRDefault="00FF00EC" w:rsidP="00411FB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21 June 2023</w:t>
      </w:r>
    </w:p>
    <w:sectPr w:rsidR="00FF00EC" w:rsidRPr="00411FB8" w:rsidSect="00EE0197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D1C8" w14:textId="77777777" w:rsidR="00583CD6" w:rsidRDefault="00583CD6" w:rsidP="00EE0197">
      <w:pPr>
        <w:spacing w:after="0" w:line="240" w:lineRule="auto"/>
      </w:pPr>
      <w:r>
        <w:separator/>
      </w:r>
    </w:p>
  </w:endnote>
  <w:endnote w:type="continuationSeparator" w:id="0">
    <w:p w14:paraId="49BDD83A" w14:textId="77777777" w:rsidR="00583CD6" w:rsidRDefault="00583CD6" w:rsidP="00EE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0F3E" w14:textId="77777777" w:rsidR="00583CD6" w:rsidRDefault="00583CD6" w:rsidP="00EE0197">
      <w:pPr>
        <w:spacing w:after="0" w:line="240" w:lineRule="auto"/>
      </w:pPr>
      <w:r>
        <w:separator/>
      </w:r>
    </w:p>
  </w:footnote>
  <w:footnote w:type="continuationSeparator" w:id="0">
    <w:p w14:paraId="28EBF255" w14:textId="77777777" w:rsidR="00583CD6" w:rsidRDefault="00583CD6" w:rsidP="00EE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4"/>
      </w:rPr>
      <w:id w:val="-776323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A6C618" w14:textId="77777777" w:rsidR="00EE0197" w:rsidRPr="00EE0197" w:rsidRDefault="00EE0197">
        <w:pPr>
          <w:pStyle w:val="Header"/>
          <w:jc w:val="center"/>
          <w:rPr>
            <w:rFonts w:ascii="Gill Sans MT" w:hAnsi="Gill Sans MT"/>
            <w:sz w:val="24"/>
          </w:rPr>
        </w:pPr>
        <w:r w:rsidRPr="00EE0197">
          <w:rPr>
            <w:rFonts w:ascii="Gill Sans MT" w:hAnsi="Gill Sans MT"/>
            <w:sz w:val="24"/>
          </w:rPr>
          <w:fldChar w:fldCharType="begin"/>
        </w:r>
        <w:r w:rsidRPr="00EE0197">
          <w:rPr>
            <w:rFonts w:ascii="Gill Sans MT" w:hAnsi="Gill Sans MT"/>
            <w:sz w:val="24"/>
          </w:rPr>
          <w:instrText xml:space="preserve"> PAGE   \* MERGEFORMAT </w:instrText>
        </w:r>
        <w:r w:rsidRPr="00EE0197">
          <w:rPr>
            <w:rFonts w:ascii="Gill Sans MT" w:hAnsi="Gill Sans MT"/>
            <w:sz w:val="24"/>
          </w:rPr>
          <w:fldChar w:fldCharType="separate"/>
        </w:r>
        <w:r w:rsidR="00F1470E">
          <w:rPr>
            <w:rFonts w:ascii="Gill Sans MT" w:hAnsi="Gill Sans MT"/>
            <w:noProof/>
            <w:sz w:val="24"/>
          </w:rPr>
          <w:t>2</w:t>
        </w:r>
        <w:r w:rsidRPr="00EE0197">
          <w:rPr>
            <w:rFonts w:ascii="Gill Sans MT" w:hAnsi="Gill Sans MT"/>
            <w:noProof/>
            <w:sz w:val="24"/>
          </w:rPr>
          <w:fldChar w:fldCharType="end"/>
        </w:r>
      </w:p>
    </w:sdtContent>
  </w:sdt>
  <w:p w14:paraId="6E0A6427" w14:textId="77777777" w:rsidR="00EE0197" w:rsidRDefault="00EE0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CB0D" w14:textId="77777777" w:rsidR="00EE0197" w:rsidRDefault="00EE0197" w:rsidP="00EE0197">
    <w:pPr>
      <w:pStyle w:val="Header"/>
    </w:pPr>
    <w:r>
      <w:rPr>
        <w:rFonts w:ascii="Gill Sans MT" w:hAnsi="Gill Sans MT"/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65D7894E" wp14:editId="18BB6A4D">
          <wp:simplePos x="0" y="0"/>
          <wp:positionH relativeFrom="margin">
            <wp:posOffset>-253491</wp:posOffset>
          </wp:positionH>
          <wp:positionV relativeFrom="margin">
            <wp:posOffset>-716337</wp:posOffset>
          </wp:positionV>
          <wp:extent cx="2908300" cy="1007745"/>
          <wp:effectExtent l="0" t="0" r="635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446"/>
    <w:multiLevelType w:val="multilevel"/>
    <w:tmpl w:val="9E9E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DE028D4"/>
    <w:multiLevelType w:val="multilevel"/>
    <w:tmpl w:val="0F127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460ECB"/>
    <w:multiLevelType w:val="hybridMultilevel"/>
    <w:tmpl w:val="493AAA20"/>
    <w:lvl w:ilvl="0" w:tplc="D86E8846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254229"/>
    <w:multiLevelType w:val="hybridMultilevel"/>
    <w:tmpl w:val="DE52B27C"/>
    <w:lvl w:ilvl="0" w:tplc="DCC62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A17E9"/>
    <w:multiLevelType w:val="hybridMultilevel"/>
    <w:tmpl w:val="AC4C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96329"/>
    <w:multiLevelType w:val="hybridMultilevel"/>
    <w:tmpl w:val="8F841D66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691F100C"/>
    <w:multiLevelType w:val="hybridMultilevel"/>
    <w:tmpl w:val="9B6E5EB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5F0BB0"/>
    <w:multiLevelType w:val="multilevel"/>
    <w:tmpl w:val="1D8E45D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9842CC"/>
    <w:multiLevelType w:val="multilevel"/>
    <w:tmpl w:val="9C481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771478"/>
    <w:multiLevelType w:val="hybridMultilevel"/>
    <w:tmpl w:val="05247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338984">
    <w:abstractNumId w:val="2"/>
  </w:num>
  <w:num w:numId="2" w16cid:durableId="1278374169">
    <w:abstractNumId w:val="5"/>
  </w:num>
  <w:num w:numId="3" w16cid:durableId="678697699">
    <w:abstractNumId w:val="3"/>
  </w:num>
  <w:num w:numId="4" w16cid:durableId="1115827993">
    <w:abstractNumId w:val="6"/>
  </w:num>
  <w:num w:numId="5" w16cid:durableId="214850331">
    <w:abstractNumId w:val="0"/>
  </w:num>
  <w:num w:numId="6" w16cid:durableId="2117674502">
    <w:abstractNumId w:val="9"/>
  </w:num>
  <w:num w:numId="7" w16cid:durableId="1224488123">
    <w:abstractNumId w:val="4"/>
  </w:num>
  <w:num w:numId="8" w16cid:durableId="883717584">
    <w:abstractNumId w:val="8"/>
  </w:num>
  <w:num w:numId="9" w16cid:durableId="989866459">
    <w:abstractNumId w:val="1"/>
  </w:num>
  <w:num w:numId="10" w16cid:durableId="1106652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44"/>
    <w:rsid w:val="0002385C"/>
    <w:rsid w:val="00024CC4"/>
    <w:rsid w:val="00136270"/>
    <w:rsid w:val="00184C65"/>
    <w:rsid w:val="00193A3F"/>
    <w:rsid w:val="001D2971"/>
    <w:rsid w:val="00317167"/>
    <w:rsid w:val="003D6D92"/>
    <w:rsid w:val="00411FB8"/>
    <w:rsid w:val="0048208F"/>
    <w:rsid w:val="00486212"/>
    <w:rsid w:val="004D3551"/>
    <w:rsid w:val="00583CD6"/>
    <w:rsid w:val="005B657E"/>
    <w:rsid w:val="00663944"/>
    <w:rsid w:val="006A1BCB"/>
    <w:rsid w:val="00B12DAD"/>
    <w:rsid w:val="00B24087"/>
    <w:rsid w:val="00B53028"/>
    <w:rsid w:val="00B83BFB"/>
    <w:rsid w:val="00BC454A"/>
    <w:rsid w:val="00C62EB3"/>
    <w:rsid w:val="00EE0197"/>
    <w:rsid w:val="00F1470E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7EACA0"/>
  <w15:chartTrackingRefBased/>
  <w15:docId w15:val="{B19C3054-C598-4EB9-9514-4568764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94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6394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663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97"/>
  </w:style>
  <w:style w:type="paragraph" w:styleId="Footer">
    <w:name w:val="footer"/>
    <w:basedOn w:val="Normal"/>
    <w:link w:val="FooterChar"/>
    <w:uiPriority w:val="99"/>
    <w:unhideWhenUsed/>
    <w:rsid w:val="00EE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97"/>
  </w:style>
  <w:style w:type="paragraph" w:styleId="BalloonText">
    <w:name w:val="Balloon Text"/>
    <w:basedOn w:val="Normal"/>
    <w:link w:val="BalloonTextChar"/>
    <w:uiPriority w:val="99"/>
    <w:semiHidden/>
    <w:unhideWhenUsed/>
    <w:rsid w:val="0002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cat.tas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c.personalcompensation@tascat.justice.tas.gov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ascat.tas.gov.au/__data/assets/pdf_file/0006/709593/230601-Practice-Direction-1-Expert-Witness-Code-of-Condu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rc.personalcompensation@tascat.tas.gov.a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3039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Clues, Alison</dc:creator>
  <cp:keywords/>
  <dc:description/>
  <cp:lastModifiedBy>Harris, Hilary</cp:lastModifiedBy>
  <cp:revision>3</cp:revision>
  <cp:lastPrinted>2021-11-15T23:30:00Z</cp:lastPrinted>
  <dcterms:created xsi:type="dcterms:W3CDTF">2023-06-21T06:26:00Z</dcterms:created>
  <dcterms:modified xsi:type="dcterms:W3CDTF">2023-06-21T06:27:00Z</dcterms:modified>
</cp:coreProperties>
</file>