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EFE" w:rsidRDefault="00D17EFE" w:rsidP="00D17EFE">
      <w:pPr>
        <w:rPr>
          <w:rFonts w:ascii="Gill Sans MT" w:hAnsi="Gill Sans MT"/>
          <w:b/>
        </w:rPr>
      </w:pPr>
      <w:r w:rsidRPr="000931B0">
        <w:rPr>
          <w:rFonts w:ascii="Gill Sans MT" w:hAnsi="Gill Sans MT"/>
          <w:b/>
          <w:noProof/>
          <w:lang w:val="en-GB" w:eastAsia="en-GB"/>
        </w:rPr>
        <w:drawing>
          <wp:anchor distT="0" distB="0" distL="114300" distR="114300" simplePos="0" relativeHeight="251659264" behindDoc="0" locked="0" layoutInCell="1" allowOverlap="1" wp14:anchorId="0F7B5EC4" wp14:editId="0AEF468B">
            <wp:simplePos x="0" y="0"/>
            <wp:positionH relativeFrom="margin">
              <wp:posOffset>4348480</wp:posOffset>
            </wp:positionH>
            <wp:positionV relativeFrom="paragraph">
              <wp:posOffset>0</wp:posOffset>
            </wp:positionV>
            <wp:extent cx="1767840" cy="757391"/>
            <wp:effectExtent l="0" t="0" r="3810" b="5080"/>
            <wp:wrapSquare wrapText="bothSides"/>
            <wp:docPr id="1" name="Picture 1" descr="C:\Users\JarrodB\AppData\Local\Temp\Temp1_TASCAT_Collection.zip\TASCAT Logo Tagline\TASCAT_Logo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rodB\AppData\Local\Temp\Temp1_TASCAT_Collection.zip\TASCAT Logo Tagline\TASCAT_Logo_Ta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7840" cy="757391"/>
                    </a:xfrm>
                    <a:prstGeom prst="rect">
                      <a:avLst/>
                    </a:prstGeom>
                    <a:noFill/>
                    <a:ln>
                      <a:noFill/>
                    </a:ln>
                  </pic:spPr>
                </pic:pic>
              </a:graphicData>
            </a:graphic>
          </wp:anchor>
        </w:drawing>
      </w:r>
    </w:p>
    <w:p w:rsidR="00D17EFE" w:rsidRDefault="00D17EFE" w:rsidP="00D17EFE">
      <w:pPr>
        <w:rPr>
          <w:rFonts w:ascii="Gill Sans MT" w:hAnsi="Gill Sans MT"/>
          <w:b/>
        </w:rPr>
      </w:pPr>
    </w:p>
    <w:p w:rsidR="00D17EFE" w:rsidRDefault="00D17EFE" w:rsidP="00D17EFE">
      <w:pPr>
        <w:rPr>
          <w:rFonts w:ascii="Gill Sans MT" w:hAnsi="Gill Sans MT"/>
          <w:b/>
        </w:rPr>
      </w:pPr>
    </w:p>
    <w:p w:rsidR="00D17EFE" w:rsidRDefault="00D17EFE" w:rsidP="00D17EFE">
      <w:pPr>
        <w:rPr>
          <w:rFonts w:ascii="Gill Sans MT" w:hAnsi="Gill Sans MT"/>
          <w:b/>
        </w:rPr>
      </w:pPr>
    </w:p>
    <w:p w:rsidR="00D17EFE" w:rsidRDefault="00D17EFE" w:rsidP="00D17EFE">
      <w:pPr>
        <w:rPr>
          <w:rFonts w:ascii="Gill Sans MT" w:hAnsi="Gill Sans MT"/>
          <w:b/>
        </w:rPr>
      </w:pPr>
    </w:p>
    <w:p w:rsidR="00D17EFE" w:rsidRPr="006E690C" w:rsidRDefault="00D17EFE" w:rsidP="00D17EFE">
      <w:pPr>
        <w:pBdr>
          <w:bottom w:val="single" w:sz="4" w:space="1" w:color="auto"/>
        </w:pBdr>
        <w:rPr>
          <w:rFonts w:ascii="Gill Sans MT" w:hAnsi="Gill Sans MT"/>
          <w:b/>
          <w:sz w:val="44"/>
        </w:rPr>
      </w:pPr>
      <w:r>
        <w:rPr>
          <w:rFonts w:ascii="Gill Sans MT" w:hAnsi="Gill Sans MT"/>
          <w:b/>
          <w:sz w:val="44"/>
        </w:rPr>
        <w:t>INFORMATION SHEET 3</w:t>
      </w:r>
      <w:r w:rsidR="004D2AB4">
        <w:rPr>
          <w:rFonts w:ascii="Gill Sans MT" w:hAnsi="Gill Sans MT"/>
          <w:b/>
          <w:sz w:val="44"/>
        </w:rPr>
        <w:t xml:space="preserve"> – Preliminary Conferences</w:t>
      </w:r>
    </w:p>
    <w:p w:rsidR="00D75325" w:rsidRDefault="00D75325" w:rsidP="00AE7854">
      <w:pPr>
        <w:jc w:val="both"/>
        <w:rPr>
          <w:rFonts w:ascii="Gill Sans MT" w:hAnsi="Gill Sans MT"/>
          <w:b/>
        </w:rPr>
      </w:pPr>
    </w:p>
    <w:p w:rsidR="00CF0A3B" w:rsidRPr="00FA281B" w:rsidRDefault="003E60D0" w:rsidP="00CF0A3B">
      <w:pPr>
        <w:spacing w:before="120" w:after="120"/>
        <w:ind w:left="567" w:hanging="567"/>
        <w:jc w:val="both"/>
        <w:rPr>
          <w:rFonts w:ascii="Gill Sans MT" w:hAnsi="Gill Sans MT"/>
        </w:rPr>
      </w:pPr>
      <w:r>
        <w:rPr>
          <w:rFonts w:ascii="Gill Sans MT" w:hAnsi="Gill Sans MT"/>
          <w:b/>
        </w:rPr>
        <w:t>1.</w:t>
      </w:r>
      <w:r w:rsidR="00CF0A3B" w:rsidRPr="00FA281B">
        <w:rPr>
          <w:rFonts w:ascii="Gill Sans MT" w:hAnsi="Gill Sans MT"/>
          <w:b/>
        </w:rPr>
        <w:t>1</w:t>
      </w:r>
      <w:r w:rsidR="00CF0A3B" w:rsidRPr="00FA281B">
        <w:rPr>
          <w:rFonts w:ascii="Gill Sans MT" w:hAnsi="Gill Sans MT"/>
        </w:rPr>
        <w:tab/>
      </w:r>
      <w:r w:rsidR="00CF0A3B" w:rsidRPr="00FA281B">
        <w:rPr>
          <w:rFonts w:ascii="Gill Sans MT" w:hAnsi="Gill Sans MT"/>
          <w:b/>
        </w:rPr>
        <w:t>Overview</w:t>
      </w:r>
      <w:r w:rsidR="00CF0A3B" w:rsidRPr="00FA281B">
        <w:rPr>
          <w:rFonts w:ascii="Gill Sans MT" w:hAnsi="Gill Sans MT"/>
        </w:rPr>
        <w:t>:  The preliminary conference is the first hearing before the Tribunal.  It is listed 10-14 days after the lodgement of an appeal and is generally advertised in the public notices section of a newspaper circulating in the municipality of the appeal.  The Tribunal lists a directions hearing for at least 45 minutes but some matters may take a longer or shorter period of time depending on complexity.</w:t>
      </w:r>
    </w:p>
    <w:p w:rsidR="00CF0A3B" w:rsidRPr="00FA281B" w:rsidRDefault="003E60D0" w:rsidP="00CF0A3B">
      <w:pPr>
        <w:spacing w:before="120" w:after="120"/>
        <w:ind w:left="567" w:hanging="567"/>
        <w:jc w:val="both"/>
        <w:rPr>
          <w:rFonts w:ascii="Gill Sans MT" w:hAnsi="Gill Sans MT"/>
        </w:rPr>
      </w:pPr>
      <w:r>
        <w:rPr>
          <w:rFonts w:ascii="Gill Sans MT" w:hAnsi="Gill Sans MT"/>
          <w:b/>
        </w:rPr>
        <w:t>1.2</w:t>
      </w:r>
      <w:r w:rsidR="00CF0A3B" w:rsidRPr="00FA281B">
        <w:rPr>
          <w:rFonts w:ascii="Gill Sans MT" w:hAnsi="Gill Sans MT"/>
        </w:rPr>
        <w:tab/>
      </w:r>
      <w:r w:rsidR="00CF0A3B" w:rsidRPr="00FA281B">
        <w:rPr>
          <w:rFonts w:ascii="Gill Sans MT" w:hAnsi="Gill Sans MT"/>
          <w:b/>
        </w:rPr>
        <w:t>Attendance</w:t>
      </w:r>
      <w:r w:rsidR="00CF0A3B" w:rsidRPr="00FA281B">
        <w:rPr>
          <w:rFonts w:ascii="Gill Sans MT" w:hAnsi="Gill Sans MT"/>
        </w:rPr>
        <w:t xml:space="preserve">:  As with all listings before the Tribunal, all parties are to attend at the appointed time and date.  If you are unable to attend you may make application to vary the hearing date (see </w:t>
      </w:r>
      <w:r w:rsidR="001C50C8">
        <w:rPr>
          <w:rFonts w:ascii="Gill Sans MT" w:hAnsi="Gill Sans MT"/>
        </w:rPr>
        <w:t xml:space="preserve">Practice Direction 2 at </w:t>
      </w:r>
      <w:r w:rsidR="00A8452F" w:rsidRPr="00A8452F">
        <w:rPr>
          <w:rFonts w:ascii="Gill Sans MT" w:hAnsi="Gill Sans MT"/>
        </w:rPr>
        <w:t>2.5</w:t>
      </w:r>
      <w:r w:rsidR="00CF0A3B">
        <w:rPr>
          <w:rFonts w:ascii="Gill Sans MT" w:hAnsi="Gill Sans MT"/>
          <w:i/>
        </w:rPr>
        <w:t xml:space="preserve">) </w:t>
      </w:r>
      <w:r w:rsidR="00CF0A3B" w:rsidRPr="00FA281B">
        <w:rPr>
          <w:rFonts w:ascii="Gill Sans MT" w:hAnsi="Gill Sans MT"/>
        </w:rPr>
        <w:t xml:space="preserve">However, if the listing has been advertised your application is very likely to be declined.  You may send a representative </w:t>
      </w:r>
      <w:r w:rsidR="00A8452F">
        <w:rPr>
          <w:rFonts w:ascii="Gill Sans MT" w:hAnsi="Gill Sans MT"/>
        </w:rPr>
        <w:t>to appear for you</w:t>
      </w:r>
      <w:r w:rsidR="00CF0A3B" w:rsidRPr="00FA281B">
        <w:rPr>
          <w:rFonts w:ascii="Gill Sans MT" w:hAnsi="Gill Sans MT"/>
        </w:rPr>
        <w:t xml:space="preserve"> (see </w:t>
      </w:r>
      <w:r w:rsidR="00A8452F">
        <w:rPr>
          <w:rFonts w:ascii="Gill Sans MT" w:hAnsi="Gill Sans MT"/>
        </w:rPr>
        <w:t>P</w:t>
      </w:r>
      <w:r w:rsidR="001C50C8">
        <w:rPr>
          <w:rFonts w:ascii="Gill Sans MT" w:hAnsi="Gill Sans MT"/>
        </w:rPr>
        <w:t xml:space="preserve">ractice Direction 1 at </w:t>
      </w:r>
      <w:r w:rsidR="00A8452F">
        <w:rPr>
          <w:rFonts w:ascii="Gill Sans MT" w:hAnsi="Gill Sans MT"/>
        </w:rPr>
        <w:t>1.14 and 1.15</w:t>
      </w:r>
      <w:r w:rsidR="00CF0A3B" w:rsidRPr="00FA281B">
        <w:rPr>
          <w:rFonts w:ascii="Gill Sans MT" w:hAnsi="Gill Sans MT"/>
        </w:rPr>
        <w:t>).  A failure to attend a duly convened hearing of the Tribunal may result in your status as a party being revoked or your appeal dismissed (</w:t>
      </w:r>
      <w:r w:rsidR="00A8452F">
        <w:rPr>
          <w:rFonts w:ascii="Gill Sans MT" w:hAnsi="Gill Sans MT"/>
        </w:rPr>
        <w:t>see Schedule 2, Part 8, Clause 9(5) of the</w:t>
      </w:r>
      <w:r w:rsidR="00A8452F" w:rsidRPr="00A8452F">
        <w:rPr>
          <w:rFonts w:ascii="Gill Sans MT" w:hAnsi="Gill Sans MT"/>
          <w:i/>
        </w:rPr>
        <w:t xml:space="preserve"> Tasmanian Civil and Administrative Tribunal</w:t>
      </w:r>
      <w:r w:rsidR="00CF0A3B" w:rsidRPr="00A8452F">
        <w:rPr>
          <w:rFonts w:ascii="Gill Sans MT" w:hAnsi="Gill Sans MT"/>
          <w:i/>
        </w:rPr>
        <w:t xml:space="preserve"> Act</w:t>
      </w:r>
      <w:r w:rsidR="00A8452F" w:rsidRPr="00A8452F">
        <w:rPr>
          <w:rFonts w:ascii="Gill Sans MT" w:hAnsi="Gill Sans MT"/>
          <w:i/>
        </w:rPr>
        <w:t xml:space="preserve"> 202</w:t>
      </w:r>
      <w:r w:rsidR="00354E8D">
        <w:rPr>
          <w:rFonts w:ascii="Gill Sans MT" w:hAnsi="Gill Sans MT"/>
          <w:i/>
        </w:rPr>
        <w:t>0</w:t>
      </w:r>
      <w:r w:rsidR="00CF0A3B" w:rsidRPr="00FA281B">
        <w:rPr>
          <w:rFonts w:ascii="Gill Sans MT" w:hAnsi="Gill Sans MT"/>
        </w:rPr>
        <w:t>).</w:t>
      </w:r>
    </w:p>
    <w:p w:rsidR="00CF0A3B" w:rsidRPr="00FA281B" w:rsidRDefault="003E60D0" w:rsidP="00CF0A3B">
      <w:pPr>
        <w:spacing w:before="120" w:after="120"/>
        <w:ind w:left="567" w:hanging="567"/>
        <w:jc w:val="both"/>
        <w:rPr>
          <w:rFonts w:ascii="Gill Sans MT" w:hAnsi="Gill Sans MT"/>
        </w:rPr>
      </w:pPr>
      <w:r>
        <w:rPr>
          <w:rFonts w:ascii="Gill Sans MT" w:hAnsi="Gill Sans MT"/>
          <w:b/>
        </w:rPr>
        <w:t>1.3</w:t>
      </w:r>
      <w:r w:rsidR="00CF0A3B" w:rsidRPr="00FA281B">
        <w:rPr>
          <w:rFonts w:ascii="Gill Sans MT" w:hAnsi="Gill Sans MT"/>
        </w:rPr>
        <w:tab/>
      </w:r>
      <w:r w:rsidR="00CF0A3B" w:rsidRPr="00FA281B">
        <w:rPr>
          <w:rFonts w:ascii="Gill Sans MT" w:hAnsi="Gill Sans MT"/>
          <w:b/>
        </w:rPr>
        <w:t>Statement of Issues or Grounds of Appeal</w:t>
      </w:r>
      <w:r w:rsidR="00CF0A3B" w:rsidRPr="00FA281B">
        <w:rPr>
          <w:rFonts w:ascii="Gill Sans MT" w:hAnsi="Gill Sans MT"/>
        </w:rPr>
        <w:t xml:space="preserve">:  In the Tribunal’s standard correspondence, you will have been directed to revise your Statement of Issues </w:t>
      </w:r>
      <w:r w:rsidR="00CF0A3B">
        <w:rPr>
          <w:rFonts w:ascii="Gill Sans MT" w:hAnsi="Gill Sans MT"/>
        </w:rPr>
        <w:t xml:space="preserve">or Grounds of Appeal </w:t>
      </w:r>
      <w:r w:rsidR="00CF0A3B" w:rsidRPr="00FA281B">
        <w:rPr>
          <w:rFonts w:ascii="Gill Sans MT" w:hAnsi="Gill Sans MT"/>
        </w:rPr>
        <w:t xml:space="preserve">if they do not comply with the guidelines set out in </w:t>
      </w:r>
      <w:r w:rsidR="00D75325">
        <w:rPr>
          <w:rFonts w:ascii="Gill Sans MT" w:hAnsi="Gill Sans MT"/>
          <w:i/>
        </w:rPr>
        <w:t>Annexure</w:t>
      </w:r>
      <w:r w:rsidR="00CF0A3B">
        <w:rPr>
          <w:rFonts w:ascii="Gill Sans MT" w:hAnsi="Gill Sans MT"/>
          <w:i/>
        </w:rPr>
        <w:t xml:space="preserve"> A</w:t>
      </w:r>
      <w:r w:rsidR="00CF0A3B" w:rsidRPr="00FA281B">
        <w:rPr>
          <w:rFonts w:ascii="Gill Sans MT" w:hAnsi="Gill Sans MT"/>
        </w:rPr>
        <w:t xml:space="preserve">.  You must ensure that you have redrafted your Statement of Issues or Grounds of Appeal to submit them at the preliminary conference. </w:t>
      </w:r>
    </w:p>
    <w:p w:rsidR="00CF0A3B" w:rsidRPr="00FA281B" w:rsidRDefault="003E60D0" w:rsidP="00CF0A3B">
      <w:pPr>
        <w:spacing w:before="120" w:after="120"/>
        <w:ind w:left="567" w:hanging="567"/>
        <w:jc w:val="both"/>
        <w:rPr>
          <w:rFonts w:ascii="Gill Sans MT" w:hAnsi="Gill Sans MT"/>
        </w:rPr>
      </w:pPr>
      <w:r>
        <w:rPr>
          <w:rFonts w:ascii="Gill Sans MT" w:hAnsi="Gill Sans MT"/>
          <w:b/>
        </w:rPr>
        <w:t>1.4</w:t>
      </w:r>
      <w:r w:rsidR="00CF0A3B" w:rsidRPr="00FA281B">
        <w:rPr>
          <w:rFonts w:ascii="Gill Sans MT" w:hAnsi="Gill Sans MT"/>
          <w:b/>
        </w:rPr>
        <w:tab/>
      </w:r>
      <w:r w:rsidR="00CF0A3B">
        <w:rPr>
          <w:rFonts w:ascii="Gill Sans MT" w:hAnsi="Gill Sans MT"/>
          <w:b/>
        </w:rPr>
        <w:t>Steps at the Preliminary Conference</w:t>
      </w:r>
      <w:r w:rsidR="00CF0A3B" w:rsidRPr="00FA281B">
        <w:rPr>
          <w:rFonts w:ascii="Gill Sans MT" w:hAnsi="Gill Sans MT"/>
        </w:rPr>
        <w:t>:  The following matters will be dealt with at a preliminary conference.</w:t>
      </w:r>
    </w:p>
    <w:p w:rsidR="00CF0A3B" w:rsidRPr="00FA281B" w:rsidRDefault="003E60D0" w:rsidP="00D75325">
      <w:pPr>
        <w:spacing w:before="120" w:after="120"/>
        <w:ind w:left="1134" w:hanging="567"/>
        <w:jc w:val="both"/>
        <w:rPr>
          <w:rFonts w:ascii="Gill Sans MT" w:hAnsi="Gill Sans MT"/>
        </w:rPr>
      </w:pPr>
      <w:r>
        <w:rPr>
          <w:rFonts w:ascii="Gill Sans MT" w:hAnsi="Gill Sans MT"/>
        </w:rPr>
        <w:t>1.4.1</w:t>
      </w:r>
      <w:r w:rsidR="00CF0A3B" w:rsidRPr="00FA281B">
        <w:rPr>
          <w:rFonts w:ascii="Gill Sans MT" w:hAnsi="Gill Sans MT"/>
          <w:b/>
        </w:rPr>
        <w:tab/>
        <w:t>Applications to Join</w:t>
      </w:r>
      <w:r w:rsidR="00CF0A3B" w:rsidRPr="00FA281B">
        <w:rPr>
          <w:rFonts w:ascii="Gill Sans MT" w:hAnsi="Gill Sans MT"/>
        </w:rPr>
        <w:t>:  Applications to join proceedings should be made before the preliminary conference is held (S</w:t>
      </w:r>
      <w:r w:rsidR="00CF0A3B">
        <w:rPr>
          <w:rFonts w:ascii="Gill Sans MT" w:hAnsi="Gill Sans MT"/>
        </w:rPr>
        <w:t xml:space="preserve">ee </w:t>
      </w:r>
      <w:r w:rsidR="00854169">
        <w:rPr>
          <w:rFonts w:ascii="Gill Sans MT" w:hAnsi="Gill Sans MT"/>
        </w:rPr>
        <w:t>Practice Direction</w:t>
      </w:r>
      <w:r w:rsidR="001C50C8">
        <w:rPr>
          <w:rFonts w:ascii="Gill Sans MT" w:hAnsi="Gill Sans MT"/>
        </w:rPr>
        <w:t xml:space="preserve"> 2 at</w:t>
      </w:r>
      <w:r w:rsidR="00854169">
        <w:rPr>
          <w:rFonts w:ascii="Gill Sans MT" w:hAnsi="Gill Sans MT"/>
        </w:rPr>
        <w:t xml:space="preserve"> 2.6.-2.8</w:t>
      </w:r>
      <w:r w:rsidR="00CF0A3B">
        <w:rPr>
          <w:rFonts w:ascii="Gill Sans MT" w:hAnsi="Gill Sans MT"/>
        </w:rPr>
        <w:t>)</w:t>
      </w:r>
      <w:r w:rsidR="000F7944">
        <w:rPr>
          <w:rFonts w:ascii="Gill Sans MT" w:hAnsi="Gill Sans MT"/>
        </w:rPr>
        <w:t>.</w:t>
      </w:r>
      <w:r w:rsidR="00854169">
        <w:rPr>
          <w:rFonts w:ascii="Gill Sans MT" w:hAnsi="Gill Sans MT"/>
        </w:rPr>
        <w:t xml:space="preserve"> </w:t>
      </w:r>
      <w:r w:rsidR="00CF0A3B">
        <w:rPr>
          <w:rFonts w:ascii="Gill Sans MT" w:hAnsi="Gill Sans MT"/>
        </w:rPr>
        <w:t xml:space="preserve"> </w:t>
      </w:r>
      <w:r w:rsidR="00CF0A3B" w:rsidRPr="00FA281B">
        <w:rPr>
          <w:rFonts w:ascii="Gill Sans MT" w:hAnsi="Gill Sans MT"/>
        </w:rPr>
        <w:t>Applications to join can be made at any time; however, lateness in making an application may be a relevant factor in refusing the application.  Directions allowing parties an opportunity to comment on any application to join are set.  Short timeframes apply to resolving applications to join.</w:t>
      </w:r>
    </w:p>
    <w:p w:rsidR="00CF0A3B" w:rsidRPr="00FA281B" w:rsidRDefault="003E60D0" w:rsidP="00D75325">
      <w:pPr>
        <w:spacing w:before="120" w:after="120"/>
        <w:ind w:left="1134" w:hanging="567"/>
        <w:jc w:val="both"/>
        <w:rPr>
          <w:rFonts w:ascii="Gill Sans MT" w:hAnsi="Gill Sans MT"/>
        </w:rPr>
      </w:pPr>
      <w:r>
        <w:rPr>
          <w:rFonts w:ascii="Gill Sans MT" w:hAnsi="Gill Sans MT"/>
        </w:rPr>
        <w:t>1.4.2</w:t>
      </w:r>
      <w:r w:rsidR="00CF0A3B" w:rsidRPr="00FA281B">
        <w:rPr>
          <w:rFonts w:ascii="Gill Sans MT" w:hAnsi="Gill Sans MT"/>
          <w:b/>
        </w:rPr>
        <w:tab/>
        <w:t>Grounds of Appeal or Statement of Issues</w:t>
      </w:r>
      <w:r w:rsidR="00CF0A3B">
        <w:rPr>
          <w:rFonts w:ascii="Gill Sans MT" w:hAnsi="Gill Sans MT"/>
        </w:rPr>
        <w:t>:  If a party has not provided clear grounds of appeal, terms of orders sought, grounds of refusal (if a Planning Authority) then the Tribunal will issue directions.  Parties may request directions of the Tribunal if they believe the grounds or issues are not sufficiently clear for them to know the case they need to meet.</w:t>
      </w:r>
      <w:r w:rsidR="00CF0A3B" w:rsidRPr="00FA281B">
        <w:rPr>
          <w:rFonts w:ascii="Gill Sans MT" w:hAnsi="Gill Sans MT"/>
        </w:rPr>
        <w:t xml:space="preserve"> </w:t>
      </w:r>
    </w:p>
    <w:p w:rsidR="00CF0A3B" w:rsidRPr="00CF0A3B" w:rsidRDefault="003E60D0" w:rsidP="00D75325">
      <w:pPr>
        <w:spacing w:before="120" w:after="120"/>
        <w:ind w:left="1134" w:hanging="567"/>
        <w:jc w:val="both"/>
        <w:rPr>
          <w:rFonts w:ascii="Gill Sans MT" w:hAnsi="Gill Sans MT"/>
        </w:rPr>
      </w:pPr>
      <w:r>
        <w:rPr>
          <w:rFonts w:ascii="Gill Sans MT" w:hAnsi="Gill Sans MT"/>
        </w:rPr>
        <w:t>1.4.3</w:t>
      </w:r>
      <w:r w:rsidR="00CF0A3B" w:rsidRPr="00FA281B">
        <w:rPr>
          <w:rFonts w:ascii="Gill Sans MT" w:hAnsi="Gill Sans MT"/>
          <w:b/>
        </w:rPr>
        <w:tab/>
        <w:t>Jurisdictional Issues</w:t>
      </w:r>
      <w:r w:rsidR="00CF0A3B" w:rsidRPr="00FA281B">
        <w:rPr>
          <w:rFonts w:ascii="Gill Sans MT" w:hAnsi="Gill Sans MT"/>
        </w:rPr>
        <w:t xml:space="preserve">: </w:t>
      </w:r>
      <w:r w:rsidR="00CF0A3B">
        <w:rPr>
          <w:rFonts w:ascii="Gill Sans MT" w:hAnsi="Gill Sans MT"/>
        </w:rPr>
        <w:t>In some proceedings legal issues may arise which are known as jurisdictional issues.  These may be issues which affect whether the Tribunal has power to hear and de</w:t>
      </w:r>
      <w:r w:rsidR="001C50C8">
        <w:rPr>
          <w:rFonts w:ascii="Gill Sans MT" w:hAnsi="Gill Sans MT"/>
        </w:rPr>
        <w:t>termine the proceedings.  See Practice Direction 2 at</w:t>
      </w:r>
      <w:r w:rsidR="000F7944">
        <w:rPr>
          <w:rFonts w:ascii="Gill Sans MT" w:hAnsi="Gill Sans MT"/>
        </w:rPr>
        <w:t xml:space="preserve"> 2.15 -2.17</w:t>
      </w:r>
      <w:r w:rsidR="00CF0A3B">
        <w:rPr>
          <w:rFonts w:ascii="Gill Sans MT" w:hAnsi="Gill Sans MT"/>
        </w:rPr>
        <w:t xml:space="preserve"> for directions regarding raising these issues.</w:t>
      </w:r>
    </w:p>
    <w:p w:rsidR="00CF0A3B" w:rsidRPr="00FA281B" w:rsidRDefault="003E60D0" w:rsidP="00D75325">
      <w:pPr>
        <w:spacing w:before="120" w:after="120"/>
        <w:ind w:left="1134" w:hanging="567"/>
        <w:jc w:val="both"/>
        <w:rPr>
          <w:rFonts w:ascii="Gill Sans MT" w:hAnsi="Gill Sans MT"/>
        </w:rPr>
      </w:pPr>
      <w:r>
        <w:rPr>
          <w:rFonts w:ascii="Gill Sans MT" w:hAnsi="Gill Sans MT"/>
        </w:rPr>
        <w:t>1.4.4</w:t>
      </w:r>
      <w:r w:rsidR="00CF0A3B" w:rsidRPr="00FA281B">
        <w:rPr>
          <w:rFonts w:ascii="Gill Sans MT" w:hAnsi="Gill Sans MT"/>
          <w:b/>
        </w:rPr>
        <w:tab/>
        <w:t>Alternate Dispute Resolution</w:t>
      </w:r>
      <w:r w:rsidR="00CF0A3B">
        <w:rPr>
          <w:rFonts w:ascii="Gill Sans MT" w:hAnsi="Gill Sans MT"/>
          <w:b/>
        </w:rPr>
        <w:t xml:space="preserve"> and Mediation:</w:t>
      </w:r>
      <w:r w:rsidR="00CF0A3B" w:rsidRPr="00FA281B">
        <w:rPr>
          <w:rFonts w:ascii="Gill Sans MT" w:hAnsi="Gill Sans MT"/>
        </w:rPr>
        <w:t xml:space="preserve"> </w:t>
      </w:r>
      <w:r w:rsidR="00CF0A3B">
        <w:rPr>
          <w:rFonts w:ascii="Gill Sans MT" w:hAnsi="Gill Sans MT"/>
        </w:rPr>
        <w:t xml:space="preserve">The </w:t>
      </w:r>
      <w:r w:rsidR="00C46E0A">
        <w:rPr>
          <w:rFonts w:ascii="Gill Sans MT" w:hAnsi="Gill Sans MT"/>
        </w:rPr>
        <w:t>Case Officer for the file will explore with the parties, in a pre-mediation session, whether the proceedings are suitable for mediation or ADR.  If so, a listing will be made and usually for around 7 days after the preliminary conference.</w:t>
      </w:r>
    </w:p>
    <w:p w:rsidR="00CF0A3B" w:rsidRPr="00FA281B" w:rsidRDefault="003E60D0" w:rsidP="00D75325">
      <w:pPr>
        <w:spacing w:before="120" w:after="120"/>
        <w:ind w:left="1134" w:hanging="567"/>
        <w:jc w:val="both"/>
        <w:rPr>
          <w:rFonts w:ascii="Gill Sans MT" w:hAnsi="Gill Sans MT"/>
        </w:rPr>
      </w:pPr>
      <w:r>
        <w:rPr>
          <w:rFonts w:ascii="Gill Sans MT" w:hAnsi="Gill Sans MT"/>
        </w:rPr>
        <w:lastRenderedPageBreak/>
        <w:t>1.4.</w:t>
      </w:r>
      <w:r w:rsidR="00CF0A3B" w:rsidRPr="00FA281B">
        <w:rPr>
          <w:rFonts w:ascii="Gill Sans MT" w:hAnsi="Gill Sans MT"/>
        </w:rPr>
        <w:t>5</w:t>
      </w:r>
      <w:r w:rsidR="00CF0A3B" w:rsidRPr="00FA281B">
        <w:rPr>
          <w:rFonts w:ascii="Gill Sans MT" w:hAnsi="Gill Sans MT"/>
          <w:b/>
        </w:rPr>
        <w:tab/>
        <w:t>Dates for Full Hearing</w:t>
      </w:r>
      <w:r w:rsidR="00CF0A3B" w:rsidRPr="00FA281B">
        <w:rPr>
          <w:rFonts w:ascii="Gill Sans MT" w:hAnsi="Gill Sans MT"/>
        </w:rPr>
        <w:t xml:space="preserve">: The hearing date is ordinarily set between 6-8 weeks of the preliminary conference to meet the Tribunal’s statutory requirement of a 90 day decision time frame. </w:t>
      </w:r>
    </w:p>
    <w:p w:rsidR="00CF0A3B" w:rsidRPr="00FA281B" w:rsidRDefault="003E60D0" w:rsidP="00D75325">
      <w:pPr>
        <w:spacing w:before="120" w:after="120"/>
        <w:ind w:left="1134" w:hanging="567"/>
        <w:jc w:val="both"/>
        <w:rPr>
          <w:rFonts w:ascii="Gill Sans MT" w:hAnsi="Gill Sans MT"/>
        </w:rPr>
      </w:pPr>
      <w:r>
        <w:rPr>
          <w:rFonts w:ascii="Gill Sans MT" w:hAnsi="Gill Sans MT"/>
        </w:rPr>
        <w:t>1.4.</w:t>
      </w:r>
      <w:r w:rsidR="00CF0A3B" w:rsidRPr="00FA281B">
        <w:rPr>
          <w:rFonts w:ascii="Gill Sans MT" w:hAnsi="Gill Sans MT"/>
        </w:rPr>
        <w:t>6</w:t>
      </w:r>
      <w:r w:rsidR="00CF0A3B" w:rsidRPr="00FA281B">
        <w:rPr>
          <w:rFonts w:ascii="Gill Sans MT" w:hAnsi="Gill Sans MT"/>
          <w:b/>
        </w:rPr>
        <w:tab/>
        <w:t>Preparation and Filing of Evidence</w:t>
      </w:r>
      <w:r w:rsidR="00CF0A3B" w:rsidRPr="00FA281B">
        <w:rPr>
          <w:rFonts w:ascii="Gill Sans MT" w:hAnsi="Gill Sans MT"/>
        </w:rPr>
        <w:t>:  Directions will be issued setting dates for parties to exchange and file all material that is to be used by parties in proving their respective cases at the full hearing (</w:t>
      </w:r>
      <w:r w:rsidR="00CF0A3B" w:rsidRPr="00854169">
        <w:rPr>
          <w:rFonts w:ascii="Gill Sans MT" w:hAnsi="Gill Sans MT"/>
        </w:rPr>
        <w:t xml:space="preserve">See </w:t>
      </w:r>
      <w:r w:rsidR="00854169" w:rsidRPr="00854169">
        <w:rPr>
          <w:rFonts w:ascii="Gill Sans MT" w:hAnsi="Gill Sans MT"/>
        </w:rPr>
        <w:t>Information Sheet 6 and Practice Direction 4)</w:t>
      </w:r>
    </w:p>
    <w:p w:rsidR="00CF0A3B" w:rsidRPr="00FA281B" w:rsidRDefault="003E60D0" w:rsidP="00D75325">
      <w:pPr>
        <w:spacing w:before="120" w:after="120"/>
        <w:ind w:left="1134" w:hanging="567"/>
        <w:jc w:val="both"/>
        <w:rPr>
          <w:rFonts w:ascii="Gill Sans MT" w:hAnsi="Gill Sans MT"/>
        </w:rPr>
      </w:pPr>
      <w:r>
        <w:rPr>
          <w:rFonts w:ascii="Gill Sans MT" w:hAnsi="Gill Sans MT"/>
        </w:rPr>
        <w:t>1.4</w:t>
      </w:r>
      <w:r w:rsidR="00CF0A3B" w:rsidRPr="00FA281B">
        <w:rPr>
          <w:rFonts w:ascii="Gill Sans MT" w:hAnsi="Gill Sans MT"/>
        </w:rPr>
        <w:t>.7</w:t>
      </w:r>
      <w:r w:rsidR="00CF0A3B" w:rsidRPr="00FA281B">
        <w:rPr>
          <w:rFonts w:ascii="Gill Sans MT" w:hAnsi="Gill Sans MT"/>
          <w:b/>
        </w:rPr>
        <w:tab/>
        <w:t>Provision of Information and Papers</w:t>
      </w:r>
      <w:r w:rsidR="00CF0A3B" w:rsidRPr="00FA281B">
        <w:rPr>
          <w:rFonts w:ascii="Gill Sans MT" w:hAnsi="Gill Sans MT"/>
        </w:rPr>
        <w:t xml:space="preserve">:  The primary decision maker (usually the planning authority) is required to provide to the Tribunal and to all parties a complete set of documents which constitute the original decision making process material. In the event other persons are joined to proceedings, directions will be issued for that same paperwork to be provided to them.  The preliminary conference is also an opportunity for parties to request information from other parties.  If one party refuses to provide certain information, other parties may apply for a summons for provision of documents (See </w:t>
      </w:r>
      <w:r w:rsidR="00854169" w:rsidRPr="00F11C61">
        <w:rPr>
          <w:rFonts w:ascii="Gill Sans MT" w:hAnsi="Gill Sans MT"/>
        </w:rPr>
        <w:t>Practice Direction</w:t>
      </w:r>
      <w:r w:rsidR="001C50C8">
        <w:rPr>
          <w:rFonts w:ascii="Gill Sans MT" w:hAnsi="Gill Sans MT"/>
        </w:rPr>
        <w:t xml:space="preserve"> 2 at</w:t>
      </w:r>
      <w:bookmarkStart w:id="0" w:name="_GoBack"/>
      <w:bookmarkEnd w:id="0"/>
      <w:r w:rsidR="00854169" w:rsidRPr="00F11C61">
        <w:rPr>
          <w:rFonts w:ascii="Gill Sans MT" w:hAnsi="Gill Sans MT"/>
        </w:rPr>
        <w:t xml:space="preserve"> 2.25</w:t>
      </w:r>
      <w:r w:rsidR="00F11C61" w:rsidRPr="00F11C61">
        <w:rPr>
          <w:rFonts w:ascii="Gill Sans MT" w:hAnsi="Gill Sans MT"/>
        </w:rPr>
        <w:t>-2.27)</w:t>
      </w:r>
      <w:r w:rsidR="00854169">
        <w:rPr>
          <w:rFonts w:ascii="Gill Sans MT" w:hAnsi="Gill Sans MT"/>
          <w:i/>
        </w:rPr>
        <w:t xml:space="preserve"> </w:t>
      </w:r>
    </w:p>
    <w:p w:rsidR="00CF0A3B" w:rsidRPr="00FA281B" w:rsidRDefault="003E60D0" w:rsidP="00D75325">
      <w:pPr>
        <w:spacing w:before="120" w:after="120"/>
        <w:ind w:left="1134" w:hanging="567"/>
        <w:jc w:val="both"/>
        <w:rPr>
          <w:rFonts w:ascii="Gill Sans MT" w:hAnsi="Gill Sans MT"/>
          <w:i/>
        </w:rPr>
      </w:pPr>
      <w:r>
        <w:rPr>
          <w:rFonts w:ascii="Gill Sans MT" w:hAnsi="Gill Sans MT"/>
        </w:rPr>
        <w:t>1.4</w:t>
      </w:r>
      <w:r w:rsidR="00CF0A3B" w:rsidRPr="00FA281B">
        <w:rPr>
          <w:rFonts w:ascii="Gill Sans MT" w:hAnsi="Gill Sans MT"/>
        </w:rPr>
        <w:t>.8</w:t>
      </w:r>
      <w:r w:rsidR="00CF0A3B" w:rsidRPr="00FA281B">
        <w:rPr>
          <w:rFonts w:ascii="Gill Sans MT" w:hAnsi="Gill Sans MT"/>
        </w:rPr>
        <w:tab/>
      </w:r>
      <w:r w:rsidR="00CF0A3B" w:rsidRPr="00FA281B">
        <w:rPr>
          <w:rFonts w:ascii="Gill Sans MT" w:hAnsi="Gill Sans MT"/>
          <w:b/>
        </w:rPr>
        <w:t>Draft Conditions of Approval</w:t>
      </w:r>
      <w:r w:rsidR="00CF0A3B" w:rsidRPr="00FA281B">
        <w:rPr>
          <w:rFonts w:ascii="Gill Sans MT" w:hAnsi="Gill Sans MT"/>
        </w:rPr>
        <w:t xml:space="preserve">:  The primary decision maker (usually the planning authority) will be required to prepare and submit draft conditions of approval of any planning appeal </w:t>
      </w:r>
      <w:r w:rsidR="00FF4191">
        <w:rPr>
          <w:rFonts w:ascii="Gill Sans MT" w:hAnsi="Gill Sans MT"/>
        </w:rPr>
        <w:t>by no later than 7 days before the hearing</w:t>
      </w:r>
      <w:r w:rsidR="00CF0A3B" w:rsidRPr="00FA281B">
        <w:rPr>
          <w:rFonts w:ascii="Gill Sans MT" w:hAnsi="Gill Sans MT"/>
        </w:rPr>
        <w:t>. Alternatively, if a planning authority asserts that it is unable to draft and file conditions of approval, then submissions detailing the basis of the inability to file draft conditions of approval must be submitted on that same date.  Those draft conditions or submissions are to be supplied to each other party to the proceedings. Each of the parties may then respond to any of the proposed draft condit</w:t>
      </w:r>
      <w:r w:rsidR="00F11C61">
        <w:rPr>
          <w:rFonts w:ascii="Gill Sans MT" w:hAnsi="Gill Sans MT"/>
        </w:rPr>
        <w:t>ions in their response statements of evidence.</w:t>
      </w:r>
    </w:p>
    <w:p w:rsidR="00AE7854" w:rsidRDefault="00AE7854" w:rsidP="00AE7854">
      <w:pPr>
        <w:jc w:val="both"/>
        <w:rPr>
          <w:rFonts w:ascii="Gill Sans MT" w:hAnsi="Gill Sans MT"/>
          <w:b/>
        </w:rPr>
      </w:pPr>
    </w:p>
    <w:p w:rsidR="00681C55" w:rsidRDefault="00681C55"/>
    <w:sectPr w:rsidR="00681C55" w:rsidSect="00D75325">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325" w:rsidRDefault="00D75325" w:rsidP="00D75325">
      <w:r>
        <w:separator/>
      </w:r>
    </w:p>
  </w:endnote>
  <w:endnote w:type="continuationSeparator" w:id="0">
    <w:p w:rsidR="00D75325" w:rsidRDefault="00D75325" w:rsidP="00D7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altName w:val="GillSans"/>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325" w:rsidRDefault="00D753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325" w:rsidRDefault="00D753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325" w:rsidRPr="00D75325" w:rsidRDefault="00D75325" w:rsidP="00D75325">
    <w:pPr>
      <w:pStyle w:val="Footer"/>
      <w:jc w:val="right"/>
      <w:rPr>
        <w:rFonts w:ascii="Gill Sans MT" w:hAnsi="Gill Sans MT"/>
        <w:sz w:val="18"/>
      </w:rPr>
    </w:pPr>
    <w:r>
      <w:rPr>
        <w:rFonts w:ascii="Gill Sans MT" w:hAnsi="Gill Sans MT"/>
        <w:sz w:val="18"/>
      </w:rPr>
      <w:t>Version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325" w:rsidRDefault="00D75325" w:rsidP="00D75325">
      <w:r>
        <w:separator/>
      </w:r>
    </w:p>
  </w:footnote>
  <w:footnote w:type="continuationSeparator" w:id="0">
    <w:p w:rsidR="00D75325" w:rsidRDefault="00D75325" w:rsidP="00D75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325" w:rsidRDefault="00D75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325" w:rsidRDefault="00D753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325" w:rsidRDefault="00D753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54"/>
    <w:rsid w:val="000F7944"/>
    <w:rsid w:val="001C50C8"/>
    <w:rsid w:val="00354E8D"/>
    <w:rsid w:val="003E60D0"/>
    <w:rsid w:val="00474779"/>
    <w:rsid w:val="004D2AB4"/>
    <w:rsid w:val="00681C55"/>
    <w:rsid w:val="00854169"/>
    <w:rsid w:val="008D41AD"/>
    <w:rsid w:val="00A8452F"/>
    <w:rsid w:val="00AE7854"/>
    <w:rsid w:val="00C46E0A"/>
    <w:rsid w:val="00CF0A3B"/>
    <w:rsid w:val="00D17EFE"/>
    <w:rsid w:val="00D62985"/>
    <w:rsid w:val="00D75325"/>
    <w:rsid w:val="00F11C61"/>
    <w:rsid w:val="00FF41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936975"/>
  <w15:chartTrackingRefBased/>
  <w15:docId w15:val="{2A54C083-CA5D-4FF3-AE7E-FFF695D2B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8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75325"/>
    <w:pPr>
      <w:tabs>
        <w:tab w:val="center" w:pos="4513"/>
        <w:tab w:val="right" w:pos="9026"/>
      </w:tabs>
    </w:pPr>
  </w:style>
  <w:style w:type="character" w:customStyle="1" w:styleId="HeaderChar">
    <w:name w:val="Header Char"/>
    <w:basedOn w:val="DefaultParagraphFont"/>
    <w:link w:val="Header"/>
    <w:rsid w:val="00D75325"/>
    <w:rPr>
      <w:sz w:val="24"/>
      <w:szCs w:val="24"/>
    </w:rPr>
  </w:style>
  <w:style w:type="paragraph" w:styleId="Footer">
    <w:name w:val="footer"/>
    <w:basedOn w:val="Normal"/>
    <w:link w:val="FooterChar"/>
    <w:unhideWhenUsed/>
    <w:rsid w:val="00D75325"/>
    <w:pPr>
      <w:tabs>
        <w:tab w:val="center" w:pos="4513"/>
        <w:tab w:val="right" w:pos="9026"/>
      </w:tabs>
    </w:pPr>
  </w:style>
  <w:style w:type="character" w:customStyle="1" w:styleId="FooterChar">
    <w:name w:val="Footer Char"/>
    <w:basedOn w:val="DefaultParagraphFont"/>
    <w:link w:val="Footer"/>
    <w:rsid w:val="00D753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778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Jarrod</dc:creator>
  <cp:keywords/>
  <dc:description/>
  <cp:lastModifiedBy>Bryan, Jarrod</cp:lastModifiedBy>
  <cp:revision>8</cp:revision>
  <dcterms:created xsi:type="dcterms:W3CDTF">2021-08-29T01:21:00Z</dcterms:created>
  <dcterms:modified xsi:type="dcterms:W3CDTF">2021-11-02T00:33:00Z</dcterms:modified>
</cp:coreProperties>
</file>