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203B" w14:textId="77777777" w:rsidR="00585785" w:rsidRDefault="00585785" w:rsidP="00585785">
      <w:pPr>
        <w:rPr>
          <w:rFonts w:ascii="Gill Sans MT" w:hAnsi="Gill Sans MT"/>
          <w:b/>
        </w:rPr>
      </w:pPr>
      <w:r w:rsidRPr="000931B0">
        <w:rPr>
          <w:rFonts w:ascii="Gill Sans MT" w:hAnsi="Gill Sans MT"/>
          <w:b/>
          <w:noProof/>
        </w:rPr>
        <w:drawing>
          <wp:anchor distT="0" distB="0" distL="114300" distR="114300" simplePos="0" relativeHeight="251659264" behindDoc="0" locked="0" layoutInCell="1" allowOverlap="1" wp14:anchorId="7E462083" wp14:editId="635A4EE7">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14:paraId="66C76F64" w14:textId="77777777" w:rsidR="00585785" w:rsidRDefault="00585785" w:rsidP="00585785">
      <w:pPr>
        <w:rPr>
          <w:rFonts w:ascii="Gill Sans MT" w:hAnsi="Gill Sans MT"/>
          <w:b/>
        </w:rPr>
      </w:pPr>
    </w:p>
    <w:p w14:paraId="0C09481E" w14:textId="77777777" w:rsidR="00585785" w:rsidRDefault="00585785" w:rsidP="00585785">
      <w:pPr>
        <w:rPr>
          <w:rFonts w:ascii="Gill Sans MT" w:hAnsi="Gill Sans MT"/>
          <w:b/>
        </w:rPr>
      </w:pPr>
    </w:p>
    <w:p w14:paraId="5B2052E1" w14:textId="77777777" w:rsidR="00585785" w:rsidRDefault="00585785" w:rsidP="00585785">
      <w:pPr>
        <w:rPr>
          <w:rFonts w:ascii="Gill Sans MT" w:hAnsi="Gill Sans MT"/>
          <w:b/>
        </w:rPr>
      </w:pPr>
    </w:p>
    <w:p w14:paraId="0218737C" w14:textId="77777777" w:rsidR="00585785" w:rsidRDefault="00585785" w:rsidP="00585785">
      <w:pPr>
        <w:rPr>
          <w:rFonts w:ascii="Gill Sans MT" w:hAnsi="Gill Sans MT"/>
          <w:b/>
        </w:rPr>
      </w:pPr>
    </w:p>
    <w:p w14:paraId="7F13052E" w14:textId="77777777" w:rsidR="00585785" w:rsidRPr="006E690C" w:rsidRDefault="00585785" w:rsidP="00585785">
      <w:pPr>
        <w:pBdr>
          <w:bottom w:val="single" w:sz="4" w:space="1" w:color="auto"/>
        </w:pBdr>
        <w:rPr>
          <w:rFonts w:ascii="Gill Sans MT" w:hAnsi="Gill Sans MT"/>
          <w:b/>
          <w:sz w:val="44"/>
        </w:rPr>
      </w:pPr>
      <w:r>
        <w:rPr>
          <w:rFonts w:ascii="Gill Sans MT" w:hAnsi="Gill Sans MT"/>
          <w:b/>
          <w:sz w:val="44"/>
        </w:rPr>
        <w:t>INFORMATION SHEET 2</w:t>
      </w:r>
      <w:r w:rsidR="00BC70E8">
        <w:rPr>
          <w:rFonts w:ascii="Gill Sans MT" w:hAnsi="Gill Sans MT"/>
          <w:b/>
          <w:sz w:val="44"/>
        </w:rPr>
        <w:t xml:space="preserve"> - Lodgement</w:t>
      </w:r>
    </w:p>
    <w:p w14:paraId="17BAAB34" w14:textId="77777777" w:rsidR="00585785" w:rsidRDefault="00585785" w:rsidP="00585785">
      <w:pPr>
        <w:jc w:val="both"/>
        <w:rPr>
          <w:rFonts w:ascii="Gill Sans MT" w:hAnsi="Gill Sans MT"/>
          <w:b/>
        </w:rPr>
      </w:pPr>
    </w:p>
    <w:p w14:paraId="6F46AD40" w14:textId="382BF2E2" w:rsidR="00240F9D" w:rsidRPr="00027258" w:rsidRDefault="00027258" w:rsidP="00585785">
      <w:pPr>
        <w:pStyle w:val="ListParagraph"/>
        <w:numPr>
          <w:ilvl w:val="1"/>
          <w:numId w:val="1"/>
        </w:numPr>
        <w:ind w:left="567" w:hanging="567"/>
        <w:jc w:val="both"/>
        <w:rPr>
          <w:rFonts w:ascii="Gill Sans MT" w:hAnsi="Gill Sans MT"/>
        </w:rPr>
      </w:pPr>
      <w:r w:rsidRPr="00027258">
        <w:rPr>
          <w:rFonts w:ascii="Gill Sans MT" w:hAnsi="Gill Sans MT"/>
        </w:rPr>
        <w:t xml:space="preserve">The Tribunal </w:t>
      </w:r>
      <w:r w:rsidR="00F5580E">
        <w:rPr>
          <w:rFonts w:ascii="Gill Sans MT" w:hAnsi="Gill Sans MT"/>
        </w:rPr>
        <w:t>has issued approved forms for</w:t>
      </w:r>
      <w:r w:rsidRPr="00027258">
        <w:rPr>
          <w:rFonts w:ascii="Gill Sans MT" w:hAnsi="Gill Sans MT"/>
        </w:rPr>
        <w:t xml:space="preserve"> filing any appeals or applications</w:t>
      </w:r>
      <w:r w:rsidR="00F5580E">
        <w:rPr>
          <w:rFonts w:ascii="Gill Sans MT" w:hAnsi="Gill Sans MT"/>
        </w:rPr>
        <w:t xml:space="preserve">.  Those forms </w:t>
      </w:r>
      <w:r w:rsidRPr="00027258">
        <w:rPr>
          <w:rFonts w:ascii="Gill Sans MT" w:hAnsi="Gill Sans MT"/>
        </w:rPr>
        <w:t xml:space="preserve">are provided </w:t>
      </w:r>
      <w:r w:rsidR="002020ED">
        <w:rPr>
          <w:rFonts w:ascii="Gill Sans MT" w:hAnsi="Gill Sans MT"/>
        </w:rPr>
        <w:t xml:space="preserve">in the </w:t>
      </w:r>
      <w:hyperlink r:id="rId8" w:history="1">
        <w:r w:rsidR="002020ED" w:rsidRPr="002020ED">
          <w:rPr>
            <w:rStyle w:val="Hyperlink"/>
            <w:rFonts w:ascii="Gill Sans MT" w:hAnsi="Gill Sans MT"/>
          </w:rPr>
          <w:t>forms</w:t>
        </w:r>
      </w:hyperlink>
      <w:r w:rsidR="002020ED" w:rsidRPr="002020ED">
        <w:rPr>
          <w:rFonts w:ascii="Gill Sans MT" w:hAnsi="Gill Sans MT"/>
        </w:rPr>
        <w:t xml:space="preserve"> </w:t>
      </w:r>
      <w:r w:rsidR="002020ED">
        <w:rPr>
          <w:rFonts w:ascii="Gill Sans MT" w:hAnsi="Gill Sans MT"/>
        </w:rPr>
        <w:t>section of</w:t>
      </w:r>
      <w:r w:rsidRPr="00027258">
        <w:rPr>
          <w:rFonts w:ascii="Gill Sans MT" w:hAnsi="Gill Sans MT"/>
        </w:rPr>
        <w:t xml:space="preserve"> the TASCAT Website</w:t>
      </w:r>
      <w:r w:rsidR="00F5580E">
        <w:rPr>
          <w:rFonts w:ascii="Gill Sans MT" w:hAnsi="Gill Sans MT"/>
        </w:rPr>
        <w:t>.</w:t>
      </w:r>
      <w:r w:rsidRPr="00027258">
        <w:rPr>
          <w:rFonts w:ascii="Gill Sans MT" w:hAnsi="Gill Sans MT"/>
        </w:rPr>
        <w:t xml:space="preserve">  Those forms set out all the information needed by the Tribunal to effectively commence and manage your proceedings.</w:t>
      </w:r>
      <w:r>
        <w:rPr>
          <w:rFonts w:ascii="Gill Sans MT" w:hAnsi="Gill Sans MT"/>
        </w:rPr>
        <w:t xml:space="preserve">  </w:t>
      </w:r>
      <w:r w:rsidR="00211583">
        <w:rPr>
          <w:rFonts w:ascii="Gill Sans MT" w:hAnsi="Gill Sans MT"/>
        </w:rPr>
        <w:t>The Tribunal has also issued Practice Directions rega</w:t>
      </w:r>
      <w:r w:rsidR="00BC70E8">
        <w:rPr>
          <w:rFonts w:ascii="Gill Sans MT" w:hAnsi="Gill Sans MT"/>
        </w:rPr>
        <w:t>rding filing proceedings at Practice Direction</w:t>
      </w:r>
      <w:r w:rsidR="00830447">
        <w:rPr>
          <w:rFonts w:ascii="Gill Sans MT" w:hAnsi="Gill Sans MT"/>
        </w:rPr>
        <w:t xml:space="preserve"> 1</w:t>
      </w:r>
      <w:r w:rsidR="00211583">
        <w:rPr>
          <w:rFonts w:ascii="Gill Sans MT" w:hAnsi="Gill Sans MT"/>
        </w:rPr>
        <w:t xml:space="preserve"> that you must comply with.</w:t>
      </w:r>
    </w:p>
    <w:p w14:paraId="05715568" w14:textId="77777777" w:rsidR="00027258" w:rsidRDefault="00027258" w:rsidP="00585785">
      <w:pPr>
        <w:ind w:left="567" w:hanging="567"/>
        <w:jc w:val="both"/>
        <w:rPr>
          <w:rFonts w:ascii="Gill Sans MT" w:hAnsi="Gill Sans MT"/>
        </w:rPr>
      </w:pPr>
    </w:p>
    <w:p w14:paraId="67E632A6" w14:textId="77777777" w:rsidR="0010395F" w:rsidRDefault="0010395F" w:rsidP="00585785">
      <w:pPr>
        <w:ind w:left="567" w:hanging="567"/>
        <w:jc w:val="both"/>
        <w:rPr>
          <w:rFonts w:ascii="Gill Sans MT" w:hAnsi="Gill Sans MT"/>
          <w:b/>
        </w:rPr>
      </w:pPr>
      <w:r w:rsidRPr="0010395F">
        <w:rPr>
          <w:rFonts w:ascii="Gill Sans MT" w:hAnsi="Gill Sans MT"/>
          <w:b/>
        </w:rPr>
        <w:t>REQUIREMENTS FOR LODGMENT:</w:t>
      </w:r>
    </w:p>
    <w:p w14:paraId="0531E92B" w14:textId="77777777" w:rsidR="0010395F" w:rsidRPr="0010395F" w:rsidRDefault="0010395F" w:rsidP="00585785">
      <w:pPr>
        <w:ind w:left="567" w:hanging="567"/>
        <w:jc w:val="both"/>
        <w:rPr>
          <w:rFonts w:ascii="Gill Sans MT" w:hAnsi="Gill Sans MT"/>
          <w:b/>
        </w:rPr>
      </w:pPr>
    </w:p>
    <w:p w14:paraId="66CAC872" w14:textId="77777777" w:rsidR="00027258" w:rsidRDefault="0010395F" w:rsidP="00585785">
      <w:pPr>
        <w:pStyle w:val="ListParagraph"/>
        <w:numPr>
          <w:ilvl w:val="1"/>
          <w:numId w:val="1"/>
        </w:numPr>
        <w:ind w:left="567" w:hanging="567"/>
        <w:jc w:val="both"/>
        <w:rPr>
          <w:rFonts w:ascii="Gill Sans MT" w:hAnsi="Gill Sans MT"/>
        </w:rPr>
      </w:pPr>
      <w:r w:rsidRPr="0010395F">
        <w:rPr>
          <w:rFonts w:ascii="Gill Sans MT" w:hAnsi="Gill Sans MT"/>
          <w:b/>
        </w:rPr>
        <w:t>Timeframes:</w:t>
      </w:r>
      <w:r w:rsidRPr="0010395F">
        <w:rPr>
          <w:rFonts w:ascii="Gill Sans MT" w:hAnsi="Gill Sans MT"/>
        </w:rPr>
        <w:t xml:space="preserve">  all appeal rights usually have a mandatory timeframe for a person to lodge an appeal.  You will usually be told the timeframe when you are notified that you have a right of appeal.  Many appeals need to be lodged within 14 days, but some may be longer (28 days for example).  You must make sure you check the timeframe and ensure your proceedings are lodged in the time required.  The Tribunal may have the power, in some appeals, to extend the timeframe but it cannot grant an extension before the time runs out.  An extension of time is not automatically granted and other parties have the right to object to an extension.</w:t>
      </w:r>
      <w:r w:rsidR="00C46A32">
        <w:rPr>
          <w:rFonts w:ascii="Gill Sans MT" w:hAnsi="Gill Sans MT"/>
        </w:rPr>
        <w:t xml:space="preserve">  See PD for extension of time applications.</w:t>
      </w:r>
    </w:p>
    <w:p w14:paraId="0C78B59A" w14:textId="77777777" w:rsidR="0010395F" w:rsidRPr="0010395F" w:rsidRDefault="0010395F" w:rsidP="00585785">
      <w:pPr>
        <w:pStyle w:val="ListParagraph"/>
        <w:ind w:left="567" w:hanging="567"/>
        <w:jc w:val="both"/>
        <w:rPr>
          <w:rFonts w:ascii="Gill Sans MT" w:hAnsi="Gill Sans MT"/>
        </w:rPr>
      </w:pPr>
    </w:p>
    <w:p w14:paraId="0DDB95E9" w14:textId="16FBA4F5" w:rsidR="0010395F" w:rsidRDefault="0010395F" w:rsidP="00585785">
      <w:pPr>
        <w:pStyle w:val="ListParagraph"/>
        <w:numPr>
          <w:ilvl w:val="1"/>
          <w:numId w:val="1"/>
        </w:numPr>
        <w:ind w:left="567" w:hanging="567"/>
        <w:jc w:val="both"/>
        <w:rPr>
          <w:rFonts w:ascii="Gill Sans MT" w:hAnsi="Gill Sans MT"/>
        </w:rPr>
      </w:pPr>
      <w:r w:rsidRPr="0010395F">
        <w:rPr>
          <w:rFonts w:ascii="Gill Sans MT" w:hAnsi="Gill Sans MT"/>
          <w:b/>
        </w:rPr>
        <w:t>Fees:</w:t>
      </w:r>
      <w:r>
        <w:rPr>
          <w:rFonts w:ascii="Gill Sans MT" w:hAnsi="Gill Sans MT"/>
        </w:rPr>
        <w:t xml:space="preserve">  many appeal rights require that a person pay a mandatory fee in order to lodge the appeal.  The Tribunal website has a list of all </w:t>
      </w:r>
      <w:hyperlink r:id="rId9" w:history="1">
        <w:r w:rsidRPr="002020ED">
          <w:rPr>
            <w:rStyle w:val="Hyperlink"/>
            <w:rFonts w:ascii="Gill Sans MT" w:hAnsi="Gill Sans MT"/>
          </w:rPr>
          <w:t>fees</w:t>
        </w:r>
      </w:hyperlink>
      <w:r w:rsidR="002020ED">
        <w:rPr>
          <w:rFonts w:ascii="Gill Sans MT" w:hAnsi="Gill Sans MT"/>
        </w:rPr>
        <w:t>.</w:t>
      </w:r>
      <w:r>
        <w:rPr>
          <w:rFonts w:ascii="Gill Sans MT" w:hAnsi="Gill Sans MT"/>
        </w:rPr>
        <w:t xml:space="preserve">  The Tribunal cannot lawfully receive an appeal without the required fee.  </w:t>
      </w:r>
      <w:r w:rsidR="00BD17F6">
        <w:rPr>
          <w:rFonts w:ascii="Gill Sans MT" w:hAnsi="Gill Sans MT"/>
        </w:rPr>
        <w:t>P</w:t>
      </w:r>
      <w:r w:rsidR="00C46A32">
        <w:rPr>
          <w:rFonts w:ascii="Gill Sans MT" w:hAnsi="Gill Sans MT"/>
        </w:rPr>
        <w:t xml:space="preserve">ayment of fees </w:t>
      </w:r>
      <w:r w:rsidR="00BD17F6">
        <w:rPr>
          <w:rFonts w:ascii="Gill Sans MT" w:hAnsi="Gill Sans MT"/>
        </w:rPr>
        <w:t xml:space="preserve">can be made </w:t>
      </w:r>
      <w:r w:rsidR="00C46A32">
        <w:rPr>
          <w:rFonts w:ascii="Gill Sans MT" w:hAnsi="Gill Sans MT"/>
        </w:rPr>
        <w:t xml:space="preserve">by cash, cheque or EFTPOS.  </w:t>
      </w:r>
      <w:r>
        <w:rPr>
          <w:rFonts w:ascii="Gill Sans MT" w:hAnsi="Gill Sans MT"/>
        </w:rPr>
        <w:t>The Tribunal does have power to waive or reduce a fee but you must ensure you make your application for a waiver or r</w:t>
      </w:r>
      <w:r w:rsidR="00BC70E8">
        <w:rPr>
          <w:rFonts w:ascii="Gill Sans MT" w:hAnsi="Gill Sans MT"/>
        </w:rPr>
        <w:t xml:space="preserve">eduction well in advance (see Practice Direction 1 at </w:t>
      </w:r>
      <w:r w:rsidR="00830447">
        <w:rPr>
          <w:rFonts w:ascii="Gill Sans MT" w:hAnsi="Gill Sans MT"/>
        </w:rPr>
        <w:t>1.4 – 1.8</w:t>
      </w:r>
      <w:r>
        <w:rPr>
          <w:rFonts w:ascii="Gill Sans MT" w:hAnsi="Gill Sans MT"/>
        </w:rPr>
        <w:t xml:space="preserve">).  </w:t>
      </w:r>
    </w:p>
    <w:p w14:paraId="3C12D1A1" w14:textId="77777777" w:rsidR="0010395F" w:rsidRPr="0010395F" w:rsidRDefault="0010395F" w:rsidP="00585785">
      <w:pPr>
        <w:ind w:left="567" w:hanging="567"/>
        <w:jc w:val="both"/>
        <w:rPr>
          <w:rFonts w:ascii="Gill Sans MT" w:hAnsi="Gill Sans MT"/>
        </w:rPr>
      </w:pPr>
    </w:p>
    <w:p w14:paraId="3900D9FE" w14:textId="77777777" w:rsidR="0010395F" w:rsidRDefault="0010395F" w:rsidP="00585785">
      <w:pPr>
        <w:pStyle w:val="ListParagraph"/>
        <w:numPr>
          <w:ilvl w:val="1"/>
          <w:numId w:val="1"/>
        </w:numPr>
        <w:ind w:left="567" w:hanging="567"/>
        <w:jc w:val="both"/>
        <w:rPr>
          <w:rFonts w:ascii="Gill Sans MT" w:hAnsi="Gill Sans MT"/>
        </w:rPr>
      </w:pPr>
      <w:r w:rsidRPr="0010395F">
        <w:rPr>
          <w:rFonts w:ascii="Gill Sans MT" w:hAnsi="Gill Sans MT"/>
          <w:b/>
        </w:rPr>
        <w:t>Standing:</w:t>
      </w:r>
      <w:r>
        <w:rPr>
          <w:rFonts w:ascii="Gill Sans MT" w:hAnsi="Gill Sans MT"/>
        </w:rPr>
        <w:t xml:space="preserve">  you must be a person who has the right to bring an appeal</w:t>
      </w:r>
      <w:r w:rsidR="00211583">
        <w:rPr>
          <w:rFonts w:ascii="Gill Sans MT" w:hAnsi="Gill Sans MT"/>
        </w:rPr>
        <w:t xml:space="preserve"> or make an originating application</w:t>
      </w:r>
      <w:r>
        <w:rPr>
          <w:rFonts w:ascii="Gill Sans MT" w:hAnsi="Gill Sans MT"/>
        </w:rPr>
        <w:t>.  Not all legislation a</w:t>
      </w:r>
      <w:r w:rsidR="00211583">
        <w:rPr>
          <w:rFonts w:ascii="Gill Sans MT" w:hAnsi="Gill Sans MT"/>
        </w:rPr>
        <w:t>llows anyone to bring an appeal or make an originating application.</w:t>
      </w:r>
      <w:r>
        <w:rPr>
          <w:rFonts w:ascii="Gill Sans MT" w:hAnsi="Gill Sans MT"/>
        </w:rPr>
        <w:t xml:space="preserve">  Many Acts set out the requirements that a person must meet in order to be eligible to file an appeal</w:t>
      </w:r>
      <w:r w:rsidR="00211583">
        <w:rPr>
          <w:rFonts w:ascii="Gill Sans MT" w:hAnsi="Gill Sans MT"/>
        </w:rPr>
        <w:t>/originating application</w:t>
      </w:r>
      <w:r>
        <w:rPr>
          <w:rFonts w:ascii="Gill Sans MT" w:hAnsi="Gill Sans MT"/>
        </w:rPr>
        <w:t>.  Most people are notified in writing they have the right to appeal, but if you are unsure you should take your own private legal advice.</w:t>
      </w:r>
    </w:p>
    <w:p w14:paraId="70B7AA34" w14:textId="77777777" w:rsidR="0010395F" w:rsidRDefault="0010395F" w:rsidP="00585785">
      <w:pPr>
        <w:ind w:left="567" w:hanging="567"/>
        <w:jc w:val="both"/>
        <w:rPr>
          <w:rFonts w:ascii="Gill Sans MT" w:hAnsi="Gill Sans MT"/>
        </w:rPr>
      </w:pPr>
    </w:p>
    <w:p w14:paraId="5109914A" w14:textId="77777777" w:rsidR="0010395F" w:rsidRPr="0010395F" w:rsidRDefault="0010395F" w:rsidP="00585785">
      <w:pPr>
        <w:pStyle w:val="ListParagraph"/>
        <w:numPr>
          <w:ilvl w:val="1"/>
          <w:numId w:val="1"/>
        </w:numPr>
        <w:ind w:left="567" w:hanging="567"/>
        <w:jc w:val="both"/>
        <w:rPr>
          <w:rFonts w:ascii="Gill Sans MT" w:hAnsi="Gill Sans MT"/>
        </w:rPr>
      </w:pPr>
      <w:r w:rsidRPr="0010395F">
        <w:rPr>
          <w:rFonts w:ascii="Gill Sans MT" w:hAnsi="Gill Sans MT"/>
          <w:b/>
        </w:rPr>
        <w:t>In writing:</w:t>
      </w:r>
      <w:r w:rsidRPr="0010395F">
        <w:rPr>
          <w:rFonts w:ascii="Gill Sans MT" w:hAnsi="Gill Sans MT"/>
        </w:rPr>
        <w:t xml:space="preserve">  all proceedings are required </w:t>
      </w:r>
      <w:r w:rsidR="00C72A3E">
        <w:rPr>
          <w:rFonts w:ascii="Gill Sans MT" w:hAnsi="Gill Sans MT"/>
        </w:rPr>
        <w:t xml:space="preserve">by legislation </w:t>
      </w:r>
      <w:r w:rsidRPr="0010395F">
        <w:rPr>
          <w:rFonts w:ascii="Gill Sans MT" w:hAnsi="Gill Sans MT"/>
        </w:rPr>
        <w:t xml:space="preserve">to be filed in writing.  It is preferable you use the forms provided by the Tribunal.  You may email your appeal or application to the Tribunal as the following email address.  The Tribunal consents to receiving any and all documents, notices and proceedings by electronic means.  </w:t>
      </w:r>
      <w:r w:rsidRPr="00D9730C">
        <w:rPr>
          <w:rFonts w:ascii="Gill Sans MT" w:hAnsi="Gill Sans MT"/>
          <w:u w:val="single"/>
        </w:rPr>
        <w:t>If you file any proceedings by electronic means</w:t>
      </w:r>
      <w:r w:rsidR="00940EF4">
        <w:rPr>
          <w:rFonts w:ascii="Gill Sans MT" w:hAnsi="Gill Sans MT"/>
          <w:u w:val="single"/>
        </w:rPr>
        <w:t xml:space="preserve"> or provide an email address</w:t>
      </w:r>
      <w:r w:rsidRPr="00D9730C">
        <w:rPr>
          <w:rFonts w:ascii="Gill Sans MT" w:hAnsi="Gill Sans MT"/>
          <w:u w:val="single"/>
        </w:rPr>
        <w:t>, you are giving consent to the Tribunal sending all documents and notifications by electronic mean</w:t>
      </w:r>
      <w:r w:rsidR="00940EF4">
        <w:rPr>
          <w:rFonts w:ascii="Gill Sans MT" w:hAnsi="Gill Sans MT"/>
          <w:u w:val="single"/>
        </w:rPr>
        <w:t xml:space="preserve">s see </w:t>
      </w:r>
      <w:r w:rsidR="00940EF4">
        <w:rPr>
          <w:rFonts w:ascii="Gill Sans MT" w:hAnsi="Gill Sans MT"/>
          <w:i/>
          <w:u w:val="single"/>
        </w:rPr>
        <w:t xml:space="preserve">section 125(3) </w:t>
      </w:r>
      <w:proofErr w:type="spellStart"/>
      <w:r w:rsidR="00940EF4">
        <w:rPr>
          <w:rFonts w:ascii="Gill Sans MT" w:hAnsi="Gill Sans MT"/>
          <w:i/>
          <w:u w:val="single"/>
        </w:rPr>
        <w:t>Tascat</w:t>
      </w:r>
      <w:proofErr w:type="spellEnd"/>
      <w:r w:rsidR="00940EF4">
        <w:rPr>
          <w:rFonts w:ascii="Gill Sans MT" w:hAnsi="Gill Sans MT"/>
          <w:i/>
          <w:u w:val="single"/>
        </w:rPr>
        <w:t xml:space="preserve"> Act 2020</w:t>
      </w:r>
      <w:r w:rsidR="00940EF4">
        <w:rPr>
          <w:rFonts w:ascii="Gill Sans MT" w:hAnsi="Gill Sans MT"/>
          <w:i/>
        </w:rPr>
        <w:t xml:space="preserve"> </w:t>
      </w:r>
    </w:p>
    <w:p w14:paraId="77179C38" w14:textId="77777777" w:rsidR="00585785" w:rsidRDefault="00585785" w:rsidP="00585785">
      <w:pPr>
        <w:pStyle w:val="ListParagraph"/>
        <w:ind w:left="567"/>
        <w:rPr>
          <w:rFonts w:ascii="Gill Sans MT" w:hAnsi="Gill Sans MT"/>
        </w:rPr>
      </w:pPr>
    </w:p>
    <w:p w14:paraId="5FD11677" w14:textId="77777777" w:rsidR="0010395F" w:rsidRDefault="00D9730C" w:rsidP="00585785">
      <w:pPr>
        <w:pStyle w:val="ListParagraph"/>
        <w:ind w:left="567"/>
        <w:rPr>
          <w:rFonts w:ascii="Gill Sans MT" w:hAnsi="Gill Sans MT"/>
        </w:rPr>
      </w:pPr>
      <w:r>
        <w:rPr>
          <w:rFonts w:ascii="Gill Sans MT" w:hAnsi="Gill Sans MT"/>
        </w:rPr>
        <w:t xml:space="preserve">Please note that for Strata Title proceedings, they must be lodged with the Office of the Recorder of Titles, not the Tribunal Registry.  </w:t>
      </w:r>
      <w:r w:rsidRPr="00FA281B">
        <w:rPr>
          <w:rFonts w:ascii="Gill Sans MT" w:hAnsi="Gill Sans MT"/>
        </w:rPr>
        <w:t>(</w:t>
      </w:r>
      <w:r>
        <w:rPr>
          <w:rFonts w:ascii="Gill Sans MT" w:hAnsi="Gill Sans MT"/>
        </w:rPr>
        <w:t>Website</w:t>
      </w:r>
      <w:r w:rsidRPr="00FA281B">
        <w:rPr>
          <w:rFonts w:ascii="Gill Sans MT" w:hAnsi="Gill Sans MT"/>
        </w:rPr>
        <w:t xml:space="preserve"> </w:t>
      </w:r>
      <w:r>
        <w:rPr>
          <w:rFonts w:ascii="Gill Sans MT" w:hAnsi="Gill Sans MT"/>
        </w:rPr>
        <w:t>for Recorder of Titles:</w:t>
      </w:r>
      <w:r w:rsidRPr="00FA281B">
        <w:rPr>
          <w:rFonts w:ascii="Gill Sans MT" w:hAnsi="Gill Sans MT"/>
        </w:rPr>
        <w:t xml:space="preserve"> </w:t>
      </w:r>
      <w:hyperlink r:id="rId10" w:history="1">
        <w:r w:rsidRPr="0054493A">
          <w:rPr>
            <w:rStyle w:val="Hyperlink"/>
            <w:rFonts w:ascii="Gill Sans MT" w:hAnsi="Gill Sans MT"/>
          </w:rPr>
          <w:t>http://dpipwe.tas.gov.au/land-tasmania/land-titles-office</w:t>
        </w:r>
      </w:hyperlink>
      <w:r>
        <w:rPr>
          <w:rFonts w:ascii="Gill Sans MT" w:hAnsi="Gill Sans MT"/>
        </w:rPr>
        <w:t>)</w:t>
      </w:r>
    </w:p>
    <w:p w14:paraId="7357B276" w14:textId="77777777" w:rsidR="00C46A32" w:rsidRPr="00C46A32" w:rsidRDefault="00C46A32" w:rsidP="00585785">
      <w:pPr>
        <w:ind w:left="567" w:hanging="567"/>
        <w:rPr>
          <w:rFonts w:ascii="Gill Sans MT" w:hAnsi="Gill Sans MT"/>
        </w:rPr>
      </w:pPr>
    </w:p>
    <w:p w14:paraId="066653E7" w14:textId="77777777" w:rsidR="00C46A32" w:rsidRDefault="00C46A32" w:rsidP="00585785">
      <w:pPr>
        <w:pStyle w:val="ListParagraph"/>
        <w:numPr>
          <w:ilvl w:val="1"/>
          <w:numId w:val="1"/>
        </w:numPr>
        <w:ind w:left="567" w:hanging="567"/>
        <w:jc w:val="both"/>
        <w:rPr>
          <w:rFonts w:ascii="Gill Sans MT" w:hAnsi="Gill Sans MT"/>
        </w:rPr>
      </w:pPr>
      <w:r w:rsidRPr="006E18FF">
        <w:rPr>
          <w:rFonts w:ascii="Gill Sans MT" w:hAnsi="Gill Sans MT"/>
          <w:b/>
        </w:rPr>
        <w:t>Grounds of Appeal</w:t>
      </w:r>
      <w:r w:rsidR="006E18FF">
        <w:rPr>
          <w:rFonts w:ascii="Gill Sans MT" w:hAnsi="Gill Sans MT"/>
          <w:b/>
        </w:rPr>
        <w:t xml:space="preserve"> </w:t>
      </w:r>
      <w:r w:rsidRPr="006E18FF">
        <w:rPr>
          <w:rFonts w:ascii="Gill Sans MT" w:hAnsi="Gill Sans MT"/>
          <w:b/>
        </w:rPr>
        <w:t>or Orders sought</w:t>
      </w:r>
      <w:r>
        <w:rPr>
          <w:rFonts w:ascii="Gill Sans MT" w:hAnsi="Gill Sans MT"/>
        </w:rPr>
        <w:t>:  you must ensure that your grounds of appeal</w:t>
      </w:r>
      <w:r w:rsidR="006E18FF">
        <w:rPr>
          <w:rFonts w:ascii="Gill Sans MT" w:hAnsi="Gill Sans MT"/>
        </w:rPr>
        <w:t xml:space="preserve">, </w:t>
      </w:r>
      <w:r>
        <w:rPr>
          <w:rFonts w:ascii="Gill Sans MT" w:hAnsi="Gill Sans MT"/>
        </w:rPr>
        <w:t xml:space="preserve">or orders you are seeking in an application are relevant and clear.  They must be detailed enough to enable the Tribunal and all other parties the case you are seeking to bring so the parties can prepare.  You also need to raise all the matters you wish to present to the Tribunal as </w:t>
      </w:r>
      <w:r>
        <w:rPr>
          <w:rFonts w:ascii="Gill Sans MT" w:hAnsi="Gill Sans MT"/>
        </w:rPr>
        <w:lastRenderedPageBreak/>
        <w:t>early as possible.  The late addition of other matters may be unfair to the other parties.  This may give rise to</w:t>
      </w:r>
      <w:r w:rsidR="006E18FF">
        <w:rPr>
          <w:rFonts w:ascii="Gill Sans MT" w:hAnsi="Gill Sans MT"/>
        </w:rPr>
        <w:t xml:space="preserve"> a refusal to allow the new matters,</w:t>
      </w:r>
      <w:r>
        <w:rPr>
          <w:rFonts w:ascii="Gill Sans MT" w:hAnsi="Gill Sans MT"/>
        </w:rPr>
        <w:t xml:space="preserve"> adjournments </w:t>
      </w:r>
      <w:r w:rsidR="006E18FF">
        <w:rPr>
          <w:rFonts w:ascii="Gill Sans MT" w:hAnsi="Gill Sans MT"/>
        </w:rPr>
        <w:t>of proceedings and</w:t>
      </w:r>
      <w:r>
        <w:rPr>
          <w:rFonts w:ascii="Gill Sans MT" w:hAnsi="Gill Sans MT"/>
        </w:rPr>
        <w:t xml:space="preserve"> even orders for costs.</w:t>
      </w:r>
    </w:p>
    <w:p w14:paraId="1EAD8249" w14:textId="77777777" w:rsidR="00C46A32" w:rsidRDefault="00C46A32" w:rsidP="00585785">
      <w:pPr>
        <w:pStyle w:val="ListParagraph"/>
        <w:ind w:left="567" w:hanging="567"/>
        <w:jc w:val="both"/>
        <w:rPr>
          <w:rFonts w:ascii="Gill Sans MT" w:hAnsi="Gill Sans MT"/>
        </w:rPr>
      </w:pPr>
    </w:p>
    <w:p w14:paraId="016BFB4C" w14:textId="77777777" w:rsidR="0010395F" w:rsidRDefault="00C46A32" w:rsidP="00585785">
      <w:pPr>
        <w:pStyle w:val="ListParagraph"/>
        <w:ind w:left="567"/>
        <w:jc w:val="both"/>
        <w:rPr>
          <w:rFonts w:ascii="Gill Sans MT" w:hAnsi="Gill Sans MT"/>
        </w:rPr>
      </w:pPr>
      <w:r>
        <w:rPr>
          <w:rFonts w:ascii="Gill Sans MT" w:hAnsi="Gill Sans MT"/>
        </w:rPr>
        <w:t>You may require some additional time to take advice about your grounds</w:t>
      </w:r>
      <w:r w:rsidR="006E18FF">
        <w:rPr>
          <w:rFonts w:ascii="Gill Sans MT" w:hAnsi="Gill Sans MT"/>
        </w:rPr>
        <w:t xml:space="preserve"> or orders</w:t>
      </w:r>
      <w:r>
        <w:rPr>
          <w:rFonts w:ascii="Gill Sans MT" w:hAnsi="Gill Sans MT"/>
        </w:rPr>
        <w:t xml:space="preserve"> and the Tribunal will hear any requests for time and issue directions.  However, if you fail to comply with directions to provide relevant, clear and sufficiently detailed grounds, issues or orders, then your appeal or status as a party make be revoked.</w:t>
      </w:r>
    </w:p>
    <w:p w14:paraId="26943EBE" w14:textId="77777777" w:rsidR="006E18FF" w:rsidRDefault="006E18FF" w:rsidP="00585785">
      <w:pPr>
        <w:pStyle w:val="ListParagraph"/>
        <w:ind w:left="567" w:hanging="567"/>
        <w:jc w:val="both"/>
        <w:rPr>
          <w:rFonts w:ascii="Gill Sans MT" w:hAnsi="Gill Sans MT"/>
        </w:rPr>
      </w:pPr>
    </w:p>
    <w:p w14:paraId="2037D857" w14:textId="77777777" w:rsidR="00681C55" w:rsidRDefault="006E18FF" w:rsidP="00585785">
      <w:pPr>
        <w:pStyle w:val="ListParagraph"/>
        <w:ind w:left="567"/>
        <w:jc w:val="both"/>
        <w:rPr>
          <w:rFonts w:ascii="Gill Sans MT" w:hAnsi="Gill Sans MT"/>
        </w:rPr>
      </w:pPr>
      <w:r>
        <w:rPr>
          <w:rFonts w:ascii="Gill Sans MT" w:hAnsi="Gill Sans MT"/>
        </w:rPr>
        <w:t>The Tribunal has provided a Guide to drafting grounds of appeal which are appended to this information sheet Annexure A.</w:t>
      </w:r>
    </w:p>
    <w:p w14:paraId="1973545E" w14:textId="77777777" w:rsidR="006E18FF" w:rsidRDefault="006E18FF" w:rsidP="00585785">
      <w:pPr>
        <w:ind w:left="567" w:hanging="567"/>
        <w:jc w:val="both"/>
        <w:rPr>
          <w:rFonts w:ascii="Gill Sans MT" w:hAnsi="Gill Sans MT"/>
        </w:rPr>
      </w:pPr>
    </w:p>
    <w:p w14:paraId="7878524E" w14:textId="77777777" w:rsidR="006E18FF" w:rsidRPr="006E18FF" w:rsidRDefault="006E18FF" w:rsidP="00585785">
      <w:pPr>
        <w:ind w:left="567" w:hanging="567"/>
        <w:jc w:val="both"/>
        <w:rPr>
          <w:rFonts w:ascii="Gill Sans MT" w:hAnsi="Gill Sans MT"/>
        </w:rPr>
      </w:pPr>
      <w:r>
        <w:rPr>
          <w:rFonts w:ascii="Gill Sans MT" w:hAnsi="Gill Sans MT"/>
        </w:rPr>
        <w:t>1.7</w:t>
      </w:r>
      <w:r>
        <w:rPr>
          <w:rFonts w:ascii="Gill Sans MT" w:hAnsi="Gill Sans MT"/>
        </w:rPr>
        <w:tab/>
      </w:r>
      <w:r w:rsidRPr="006E18FF">
        <w:rPr>
          <w:rFonts w:ascii="Gill Sans MT" w:hAnsi="Gill Sans MT"/>
          <w:b/>
        </w:rPr>
        <w:t xml:space="preserve">Single Document only required:  </w:t>
      </w:r>
      <w:r>
        <w:rPr>
          <w:rFonts w:ascii="Gill Sans MT" w:hAnsi="Gill Sans MT"/>
        </w:rPr>
        <w:t>Please do not send multiple copies of the same document to the Tribunal.  It is not necessary to fax, post and email the same document to the Tribunal.  If you want to make sure a document has been received simply request confirmation by return email.  The only exception to this requirement relates to evidence and see PD</w:t>
      </w:r>
      <w:r w:rsidR="00830447">
        <w:rPr>
          <w:rFonts w:ascii="Gill Sans MT" w:hAnsi="Gill Sans MT"/>
        </w:rPr>
        <w:t xml:space="preserve"> 4</w:t>
      </w:r>
      <w:r>
        <w:rPr>
          <w:rFonts w:ascii="Gill Sans MT" w:hAnsi="Gill Sans MT"/>
        </w:rPr>
        <w:t xml:space="preserve"> for details.</w:t>
      </w:r>
    </w:p>
    <w:p w14:paraId="3AFA6CB7" w14:textId="77777777" w:rsidR="006E18FF" w:rsidRDefault="006E18FF" w:rsidP="00585785">
      <w:pPr>
        <w:ind w:left="567" w:hanging="567"/>
        <w:jc w:val="both"/>
        <w:rPr>
          <w:rFonts w:ascii="Gill Sans MT" w:hAnsi="Gill Sans MT"/>
        </w:rPr>
      </w:pPr>
    </w:p>
    <w:p w14:paraId="342979C7" w14:textId="77777777" w:rsidR="006E18FF" w:rsidRPr="006E18FF" w:rsidRDefault="006E18FF" w:rsidP="00585785">
      <w:pPr>
        <w:ind w:left="567" w:hanging="567"/>
        <w:jc w:val="both"/>
        <w:rPr>
          <w:rFonts w:ascii="Gill Sans MT" w:hAnsi="Gill Sans MT"/>
          <w:b/>
        </w:rPr>
      </w:pPr>
      <w:r w:rsidRPr="006E18FF">
        <w:rPr>
          <w:rFonts w:ascii="Gill Sans MT" w:hAnsi="Gill Sans MT"/>
          <w:b/>
        </w:rPr>
        <w:t>AFTER LODGEMENT:</w:t>
      </w:r>
    </w:p>
    <w:p w14:paraId="3631A434" w14:textId="77777777" w:rsidR="006E18FF" w:rsidRDefault="006E18FF" w:rsidP="00585785">
      <w:pPr>
        <w:pStyle w:val="ListParagraph"/>
        <w:ind w:left="567" w:hanging="567"/>
        <w:jc w:val="both"/>
        <w:rPr>
          <w:rFonts w:ascii="Gill Sans MT" w:hAnsi="Gill Sans MT"/>
        </w:rPr>
      </w:pPr>
    </w:p>
    <w:p w14:paraId="297541B9" w14:textId="77777777" w:rsidR="006E18FF" w:rsidRPr="006E18FF" w:rsidRDefault="00585785" w:rsidP="00585785">
      <w:pPr>
        <w:pStyle w:val="ListParagraph"/>
        <w:ind w:left="567" w:hanging="567"/>
        <w:jc w:val="both"/>
        <w:rPr>
          <w:rFonts w:ascii="Gill Sans MT" w:hAnsi="Gill Sans MT"/>
        </w:rPr>
      </w:pPr>
      <w:r>
        <w:rPr>
          <w:rFonts w:ascii="Gill Sans MT" w:hAnsi="Gill Sans MT"/>
        </w:rPr>
        <w:t>1.8</w:t>
      </w:r>
      <w:r>
        <w:rPr>
          <w:rFonts w:ascii="Gill Sans MT" w:hAnsi="Gill Sans MT"/>
        </w:rPr>
        <w:tab/>
      </w:r>
      <w:r w:rsidR="006E18FF" w:rsidRPr="006E18FF">
        <w:rPr>
          <w:rFonts w:ascii="Gill Sans MT" w:hAnsi="Gill Sans MT"/>
        </w:rPr>
        <w:t>You will be sent a letter if there are any issues with the appeal or application you wish to lodge.  Otherwise, you will receive formal notification that the proceedings have been received and the date of the first preliminary conference and any directions you need to comply with for that conference.</w:t>
      </w:r>
    </w:p>
    <w:p w14:paraId="12672017" w14:textId="77777777" w:rsidR="006E18FF" w:rsidRDefault="006E18FF" w:rsidP="00585785">
      <w:pPr>
        <w:ind w:left="567" w:hanging="567"/>
        <w:jc w:val="both"/>
        <w:rPr>
          <w:rFonts w:ascii="Gill Sans MT" w:hAnsi="Gill Sans MT"/>
        </w:rPr>
      </w:pPr>
    </w:p>
    <w:p w14:paraId="1946C995" w14:textId="77777777" w:rsidR="006E18FF" w:rsidRDefault="006E18FF" w:rsidP="00585785">
      <w:pPr>
        <w:jc w:val="both"/>
        <w:rPr>
          <w:rFonts w:ascii="Gill Sans MT" w:hAnsi="Gill Sans MT"/>
        </w:rPr>
      </w:pPr>
      <w:r w:rsidRPr="00030062">
        <w:rPr>
          <w:rFonts w:ascii="Gill Sans MT" w:hAnsi="Gill Sans MT"/>
          <w:b/>
        </w:rPr>
        <w:t>Your matter will be allocated a reference number.</w:t>
      </w:r>
      <w:r w:rsidRPr="006E18FF">
        <w:rPr>
          <w:rFonts w:ascii="Gill Sans MT" w:hAnsi="Gill Sans MT"/>
        </w:rPr>
        <w:t xml:space="preserve">  </w:t>
      </w:r>
      <w:r w:rsidRPr="00030062">
        <w:rPr>
          <w:rFonts w:ascii="Gill Sans MT" w:hAnsi="Gill Sans MT"/>
          <w:b/>
        </w:rPr>
        <w:t>Please ensure you include that reference number in any correspondence to the Tribunal.</w:t>
      </w:r>
    </w:p>
    <w:p w14:paraId="4BB00796" w14:textId="77777777" w:rsidR="003C3787" w:rsidRDefault="003C3787" w:rsidP="00585785">
      <w:pPr>
        <w:ind w:left="567" w:hanging="567"/>
        <w:jc w:val="both"/>
        <w:rPr>
          <w:rFonts w:ascii="Gill Sans MT" w:hAnsi="Gill Sans MT"/>
        </w:rPr>
      </w:pPr>
    </w:p>
    <w:p w14:paraId="3B1FD0A5" w14:textId="77777777" w:rsidR="003C3787" w:rsidRDefault="003C3787" w:rsidP="006E18FF">
      <w:pPr>
        <w:jc w:val="both"/>
        <w:rPr>
          <w:rFonts w:ascii="Gill Sans MT" w:hAnsi="Gill Sans MT"/>
        </w:rPr>
      </w:pPr>
    </w:p>
    <w:p w14:paraId="4E942AE6" w14:textId="77777777" w:rsidR="003C3787" w:rsidRDefault="003C3787" w:rsidP="006E18FF">
      <w:pPr>
        <w:jc w:val="both"/>
        <w:rPr>
          <w:rFonts w:ascii="Gill Sans MT" w:hAnsi="Gill Sans MT"/>
        </w:rPr>
      </w:pPr>
    </w:p>
    <w:p w14:paraId="253E950B" w14:textId="77777777" w:rsidR="003C3787" w:rsidRDefault="003C3787" w:rsidP="006E18FF">
      <w:pPr>
        <w:jc w:val="both"/>
        <w:rPr>
          <w:rFonts w:ascii="Gill Sans MT" w:hAnsi="Gill Sans MT"/>
        </w:rPr>
      </w:pPr>
    </w:p>
    <w:p w14:paraId="6CE89884" w14:textId="77777777" w:rsidR="003C3787" w:rsidRDefault="003C3787" w:rsidP="006E18FF">
      <w:pPr>
        <w:jc w:val="both"/>
        <w:rPr>
          <w:rFonts w:ascii="Gill Sans MT" w:hAnsi="Gill Sans MT"/>
        </w:rPr>
      </w:pPr>
    </w:p>
    <w:p w14:paraId="322FF1C5" w14:textId="77777777" w:rsidR="003C3787" w:rsidRDefault="003C3787" w:rsidP="006E18FF">
      <w:pPr>
        <w:jc w:val="both"/>
        <w:rPr>
          <w:rFonts w:ascii="Gill Sans MT" w:hAnsi="Gill Sans MT"/>
        </w:rPr>
      </w:pPr>
    </w:p>
    <w:p w14:paraId="745AE91B" w14:textId="77777777" w:rsidR="003C3787" w:rsidRDefault="003C3787" w:rsidP="006E18FF">
      <w:pPr>
        <w:jc w:val="both"/>
        <w:rPr>
          <w:rFonts w:ascii="Gill Sans MT" w:hAnsi="Gill Sans MT"/>
        </w:rPr>
      </w:pPr>
    </w:p>
    <w:p w14:paraId="5EADA924" w14:textId="77777777" w:rsidR="003C3787" w:rsidRDefault="003C3787" w:rsidP="006E18FF">
      <w:pPr>
        <w:jc w:val="both"/>
        <w:rPr>
          <w:rFonts w:ascii="Gill Sans MT" w:hAnsi="Gill Sans MT"/>
        </w:rPr>
      </w:pPr>
    </w:p>
    <w:p w14:paraId="473EBF7E" w14:textId="77777777" w:rsidR="003C3787" w:rsidRDefault="003C3787" w:rsidP="006E18FF">
      <w:pPr>
        <w:jc w:val="both"/>
        <w:rPr>
          <w:rFonts w:ascii="Gill Sans MT" w:hAnsi="Gill Sans MT"/>
        </w:rPr>
      </w:pPr>
    </w:p>
    <w:p w14:paraId="4D451073" w14:textId="77777777" w:rsidR="003C3787" w:rsidRDefault="003C3787" w:rsidP="006E18FF">
      <w:pPr>
        <w:jc w:val="both"/>
        <w:rPr>
          <w:rFonts w:ascii="Gill Sans MT" w:hAnsi="Gill Sans MT"/>
        </w:rPr>
      </w:pPr>
    </w:p>
    <w:p w14:paraId="6D94F726" w14:textId="77777777" w:rsidR="003C3787" w:rsidRDefault="003C3787" w:rsidP="006E18FF">
      <w:pPr>
        <w:jc w:val="both"/>
        <w:rPr>
          <w:rFonts w:ascii="Gill Sans MT" w:hAnsi="Gill Sans MT"/>
        </w:rPr>
      </w:pPr>
    </w:p>
    <w:p w14:paraId="06DA51D0" w14:textId="77777777" w:rsidR="00585785" w:rsidRDefault="00585785">
      <w:pPr>
        <w:rPr>
          <w:rFonts w:ascii="Gill Sans MT" w:hAnsi="Gill Sans MT"/>
        </w:rPr>
      </w:pPr>
      <w:r>
        <w:rPr>
          <w:rFonts w:ascii="Gill Sans MT" w:hAnsi="Gill Sans MT"/>
        </w:rPr>
        <w:br w:type="page"/>
      </w:r>
    </w:p>
    <w:p w14:paraId="00814659" w14:textId="77777777" w:rsidR="003C3787" w:rsidRPr="00585785" w:rsidRDefault="00585785" w:rsidP="00585785">
      <w:pPr>
        <w:jc w:val="right"/>
        <w:rPr>
          <w:rFonts w:ascii="Gill Sans MT" w:hAnsi="Gill Sans MT"/>
          <w:b/>
        </w:rPr>
      </w:pPr>
      <w:r w:rsidRPr="00585785">
        <w:rPr>
          <w:rFonts w:ascii="Gill Sans MT" w:hAnsi="Gill Sans MT"/>
          <w:b/>
        </w:rPr>
        <w:lastRenderedPageBreak/>
        <w:t>Appendix A</w:t>
      </w:r>
    </w:p>
    <w:p w14:paraId="7A747721" w14:textId="77777777" w:rsidR="00585785" w:rsidRDefault="00585785" w:rsidP="00585785">
      <w:pPr>
        <w:jc w:val="right"/>
        <w:rPr>
          <w:rFonts w:ascii="Gill Sans MT" w:hAnsi="Gill Sans MT"/>
        </w:rPr>
      </w:pPr>
    </w:p>
    <w:p w14:paraId="610B3309" w14:textId="77777777" w:rsidR="003C3787" w:rsidRDefault="003C3787" w:rsidP="006E18FF">
      <w:pPr>
        <w:jc w:val="both"/>
        <w:rPr>
          <w:rFonts w:ascii="Gill Sans MT" w:hAnsi="Gill Sans MT"/>
        </w:rPr>
      </w:pPr>
    </w:p>
    <w:p w14:paraId="05B1C401" w14:textId="77777777" w:rsidR="003C3787" w:rsidRPr="003C3787" w:rsidRDefault="003C3787" w:rsidP="006E18FF">
      <w:pPr>
        <w:jc w:val="both"/>
        <w:rPr>
          <w:rFonts w:ascii="Gill Sans MT" w:hAnsi="Gill Sans MT"/>
          <w:b/>
        </w:rPr>
      </w:pPr>
      <w:r w:rsidRPr="003C3787">
        <w:rPr>
          <w:rFonts w:ascii="Gill Sans MT" w:hAnsi="Gill Sans MT"/>
          <w:b/>
        </w:rPr>
        <w:t>GUIDELINES TO DRAFTING GROUNDS OF APPEAL AND ORDERS</w:t>
      </w:r>
    </w:p>
    <w:p w14:paraId="0FB904C7" w14:textId="77777777" w:rsidR="008145FD" w:rsidRDefault="008145FD" w:rsidP="006E18FF">
      <w:pPr>
        <w:jc w:val="both"/>
        <w:rPr>
          <w:rFonts w:ascii="Gill Sans MT" w:hAnsi="Gill Sans MT"/>
        </w:rPr>
      </w:pPr>
    </w:p>
    <w:p w14:paraId="47F8F26D" w14:textId="77777777" w:rsidR="003C3787" w:rsidRDefault="008145FD" w:rsidP="006E18FF">
      <w:pPr>
        <w:jc w:val="both"/>
        <w:rPr>
          <w:rFonts w:ascii="Gill Sans MT" w:hAnsi="Gill Sans MT"/>
        </w:rPr>
      </w:pPr>
      <w:r w:rsidRPr="00FA281B">
        <w:rPr>
          <w:rFonts w:ascii="Gill Sans MT" w:hAnsi="Gill Sans MT"/>
        </w:rPr>
        <w:t xml:space="preserve">A ground of appeal or issue must disclose a matter which the Tribunal is empowered to hear and determine.  Parties cannot raise any issue they wish.  The Tribunal is restricted, as a matter of law, to consider only those matters which are made relevant by legislation.  Most commonly, these will be contained in legislation which confers jurisdiction on the Tribunal including council Planning Schemes.  If you are in doubt as to whether a matter is relevant, you should take your own private advice from a suitably qualified practitioner.  A ground of appeal or issue must clearly state the dispute that has arisen, with reference to relevant provisions of legislation (or planning schemes) and the nature of that dispute.  </w:t>
      </w:r>
    </w:p>
    <w:p w14:paraId="347918EA" w14:textId="77777777" w:rsidR="008145FD" w:rsidRDefault="008145FD" w:rsidP="006E18FF">
      <w:pPr>
        <w:jc w:val="both"/>
        <w:rPr>
          <w:rFonts w:ascii="Gill Sans MT" w:hAnsi="Gill Sans M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403"/>
        <w:gridCol w:w="3401"/>
      </w:tblGrid>
      <w:tr w:rsidR="008145FD" w:rsidRPr="00200B1A" w14:paraId="68083F8D" w14:textId="77777777" w:rsidTr="00200B1A">
        <w:trPr>
          <w:jc w:val="center"/>
        </w:trPr>
        <w:tc>
          <w:tcPr>
            <w:tcW w:w="3114" w:type="dxa"/>
          </w:tcPr>
          <w:p w14:paraId="24BD9044" w14:textId="77777777" w:rsidR="008145FD" w:rsidRPr="00200B1A" w:rsidRDefault="008145FD" w:rsidP="0077668C">
            <w:pPr>
              <w:pStyle w:val="BodyTextIndent"/>
              <w:keepNext/>
              <w:keepLines/>
              <w:ind w:left="0"/>
              <w:jc w:val="both"/>
              <w:rPr>
                <w:rFonts w:ascii="Gill Sans MT" w:hAnsi="Gill Sans MT"/>
                <w:sz w:val="18"/>
                <w:szCs w:val="20"/>
              </w:rPr>
            </w:pPr>
            <w:r w:rsidRPr="00200B1A">
              <w:rPr>
                <w:rFonts w:ascii="Gill Sans MT" w:hAnsi="Gill Sans MT"/>
                <w:b/>
                <w:sz w:val="18"/>
                <w:szCs w:val="20"/>
              </w:rPr>
              <w:t>EXAMPLE OF AN ISSUE ARISING FROM A PLANNING SCHEME OR OTHER RELEVANT INSTRUMENT</w:t>
            </w:r>
          </w:p>
        </w:tc>
        <w:tc>
          <w:tcPr>
            <w:tcW w:w="3403" w:type="dxa"/>
          </w:tcPr>
          <w:p w14:paraId="17545094" w14:textId="77777777" w:rsidR="008145FD" w:rsidRPr="00200B1A" w:rsidRDefault="008145FD" w:rsidP="0077668C">
            <w:pPr>
              <w:pStyle w:val="BodyTextIndent"/>
              <w:keepNext/>
              <w:keepLines/>
              <w:ind w:left="0"/>
              <w:jc w:val="both"/>
              <w:rPr>
                <w:rFonts w:ascii="Gill Sans MT" w:hAnsi="Gill Sans MT"/>
                <w:sz w:val="18"/>
                <w:szCs w:val="20"/>
              </w:rPr>
            </w:pPr>
            <w:r w:rsidRPr="00200B1A">
              <w:rPr>
                <w:rFonts w:ascii="Gill Sans MT" w:hAnsi="Gill Sans MT"/>
                <w:b/>
                <w:sz w:val="18"/>
                <w:szCs w:val="20"/>
              </w:rPr>
              <w:t>ADEQUATE GROUND OF APPEAL</w:t>
            </w:r>
          </w:p>
        </w:tc>
        <w:tc>
          <w:tcPr>
            <w:tcW w:w="3401" w:type="dxa"/>
          </w:tcPr>
          <w:p w14:paraId="18A4095F" w14:textId="77777777" w:rsidR="008145FD" w:rsidRPr="00200B1A" w:rsidRDefault="008145FD" w:rsidP="0077668C">
            <w:pPr>
              <w:pStyle w:val="BodyTextIndent"/>
              <w:keepNext/>
              <w:keepLines/>
              <w:ind w:left="0"/>
              <w:jc w:val="both"/>
              <w:rPr>
                <w:rFonts w:ascii="Gill Sans MT" w:hAnsi="Gill Sans MT"/>
                <w:sz w:val="18"/>
                <w:szCs w:val="20"/>
              </w:rPr>
            </w:pPr>
            <w:r w:rsidRPr="00200B1A">
              <w:rPr>
                <w:rFonts w:ascii="Gill Sans MT" w:hAnsi="Gill Sans MT"/>
                <w:b/>
                <w:sz w:val="18"/>
                <w:szCs w:val="20"/>
              </w:rPr>
              <w:t>INADEQUATE GROUND OF APPEAL</w:t>
            </w:r>
          </w:p>
        </w:tc>
      </w:tr>
      <w:tr w:rsidR="008145FD" w:rsidRPr="00200B1A" w14:paraId="6D8C9ABB" w14:textId="77777777" w:rsidTr="00200B1A">
        <w:trPr>
          <w:jc w:val="center"/>
        </w:trPr>
        <w:tc>
          <w:tcPr>
            <w:tcW w:w="3114" w:type="dxa"/>
          </w:tcPr>
          <w:p w14:paraId="1F7AED59" w14:textId="77777777" w:rsidR="008145FD" w:rsidRPr="00200B1A" w:rsidRDefault="008145FD" w:rsidP="0077668C">
            <w:pPr>
              <w:pStyle w:val="BodyTextIndent"/>
              <w:keepNext/>
              <w:keepLines/>
              <w:ind w:left="0"/>
              <w:jc w:val="both"/>
              <w:rPr>
                <w:rFonts w:ascii="Gill Sans MT" w:hAnsi="Gill Sans MT"/>
                <w:sz w:val="18"/>
                <w:szCs w:val="20"/>
              </w:rPr>
            </w:pPr>
            <w:r w:rsidRPr="00200B1A">
              <w:rPr>
                <w:rFonts w:ascii="Gill Sans MT" w:hAnsi="Gill Sans MT"/>
                <w:sz w:val="18"/>
                <w:szCs w:val="20"/>
              </w:rPr>
              <w:t>The proposed development does not have the setback required by the planning scheme.</w:t>
            </w:r>
          </w:p>
        </w:tc>
        <w:tc>
          <w:tcPr>
            <w:tcW w:w="3403" w:type="dxa"/>
          </w:tcPr>
          <w:p w14:paraId="49F0431A" w14:textId="77777777" w:rsidR="008145FD" w:rsidRPr="00200B1A" w:rsidRDefault="008145FD" w:rsidP="0077668C">
            <w:pPr>
              <w:pStyle w:val="BodyTextIndent"/>
              <w:keepNext/>
              <w:keepLines/>
              <w:ind w:left="0"/>
              <w:jc w:val="both"/>
              <w:rPr>
                <w:rFonts w:ascii="Gill Sans MT" w:hAnsi="Gill Sans MT"/>
                <w:sz w:val="18"/>
                <w:szCs w:val="20"/>
              </w:rPr>
            </w:pPr>
            <w:r w:rsidRPr="00200B1A">
              <w:rPr>
                <w:rFonts w:ascii="Gill Sans MT" w:hAnsi="Gill Sans MT"/>
                <w:sz w:val="18"/>
                <w:szCs w:val="20"/>
              </w:rPr>
              <w:t>The proposed development having a setback of 1 metre from the eastern boundary does not satisfy the requirement of clause 12.1 of the planning scheme, which requires a minimum of 2 metres setback. The effect of the non-compliance is …….</w:t>
            </w:r>
          </w:p>
        </w:tc>
        <w:tc>
          <w:tcPr>
            <w:tcW w:w="3401" w:type="dxa"/>
          </w:tcPr>
          <w:p w14:paraId="214B1922" w14:textId="77777777" w:rsidR="008145FD" w:rsidRPr="00200B1A" w:rsidRDefault="008145FD" w:rsidP="0077668C">
            <w:pPr>
              <w:keepNext/>
              <w:keepLines/>
              <w:jc w:val="both"/>
              <w:rPr>
                <w:rFonts w:ascii="Gill Sans MT" w:hAnsi="Gill Sans MT"/>
                <w:i/>
                <w:sz w:val="18"/>
                <w:szCs w:val="20"/>
              </w:rPr>
            </w:pPr>
            <w:r w:rsidRPr="00200B1A">
              <w:rPr>
                <w:rFonts w:ascii="Gill Sans MT" w:hAnsi="Gill Sans MT"/>
                <w:b/>
                <w:sz w:val="18"/>
                <w:szCs w:val="20"/>
              </w:rPr>
              <w:t>The proposed development is contrary to clause 12.1 of the planning scheme</w:t>
            </w:r>
            <w:r w:rsidRPr="00200B1A">
              <w:rPr>
                <w:rFonts w:ascii="Gill Sans MT" w:hAnsi="Gill Sans MT"/>
                <w:sz w:val="18"/>
                <w:szCs w:val="20"/>
              </w:rPr>
              <w:t>.</w:t>
            </w:r>
            <w:r w:rsidRPr="00200B1A">
              <w:rPr>
                <w:rFonts w:ascii="Gill Sans MT" w:hAnsi="Gill Sans MT"/>
                <w:b/>
                <w:sz w:val="18"/>
                <w:szCs w:val="20"/>
              </w:rPr>
              <w:t xml:space="preserve">  (</w:t>
            </w:r>
            <w:r w:rsidRPr="00200B1A">
              <w:rPr>
                <w:rFonts w:ascii="Gill Sans MT" w:hAnsi="Gill Sans MT"/>
                <w:i/>
                <w:sz w:val="18"/>
                <w:szCs w:val="20"/>
              </w:rPr>
              <w:t>This is inadequate because it does not say how it is contrary to the requirements.)</w:t>
            </w:r>
          </w:p>
          <w:p w14:paraId="590FFB47" w14:textId="77777777" w:rsidR="008145FD" w:rsidRPr="00200B1A" w:rsidRDefault="008145FD" w:rsidP="0077668C">
            <w:pPr>
              <w:keepNext/>
              <w:keepLines/>
              <w:jc w:val="both"/>
              <w:rPr>
                <w:rFonts w:ascii="Gill Sans MT" w:hAnsi="Gill Sans MT"/>
                <w:i/>
                <w:sz w:val="18"/>
                <w:szCs w:val="20"/>
              </w:rPr>
            </w:pPr>
          </w:p>
          <w:p w14:paraId="5527A909" w14:textId="77777777" w:rsidR="008145FD" w:rsidRPr="00200B1A" w:rsidRDefault="008145FD" w:rsidP="0077668C">
            <w:pPr>
              <w:pStyle w:val="BodyTextIndent"/>
              <w:keepNext/>
              <w:keepLines/>
              <w:ind w:left="0"/>
              <w:jc w:val="both"/>
              <w:rPr>
                <w:rFonts w:ascii="Gill Sans MT" w:hAnsi="Gill Sans MT"/>
                <w:sz w:val="18"/>
                <w:szCs w:val="20"/>
              </w:rPr>
            </w:pPr>
            <w:r w:rsidRPr="00200B1A">
              <w:rPr>
                <w:rFonts w:ascii="Gill Sans MT" w:hAnsi="Gill Sans MT"/>
                <w:b/>
                <w:sz w:val="18"/>
                <w:szCs w:val="20"/>
              </w:rPr>
              <w:t xml:space="preserve">The proposed development has an inadequate setback. </w:t>
            </w:r>
            <w:r w:rsidRPr="00200B1A">
              <w:rPr>
                <w:rFonts w:ascii="Gill Sans MT" w:hAnsi="Gill Sans MT"/>
                <w:sz w:val="18"/>
                <w:szCs w:val="20"/>
              </w:rPr>
              <w:t>(</w:t>
            </w:r>
            <w:r w:rsidRPr="00200B1A">
              <w:rPr>
                <w:rFonts w:ascii="Gill Sans MT" w:hAnsi="Gill Sans MT"/>
                <w:i/>
                <w:sz w:val="18"/>
                <w:szCs w:val="20"/>
              </w:rPr>
              <w:t>Because it does not refer to the relevant provision of the planning scheme.)</w:t>
            </w:r>
          </w:p>
        </w:tc>
      </w:tr>
      <w:tr w:rsidR="008145FD" w:rsidRPr="00200B1A" w14:paraId="3D3A9CF5" w14:textId="77777777" w:rsidTr="00200B1A">
        <w:trPr>
          <w:jc w:val="center"/>
        </w:trPr>
        <w:tc>
          <w:tcPr>
            <w:tcW w:w="3114" w:type="dxa"/>
          </w:tcPr>
          <w:p w14:paraId="4618D751" w14:textId="77777777" w:rsidR="008145FD" w:rsidRPr="00200B1A" w:rsidRDefault="008145FD" w:rsidP="0077668C">
            <w:pPr>
              <w:pStyle w:val="BodyText"/>
              <w:keepNext/>
              <w:keepLines/>
              <w:rPr>
                <w:rFonts w:ascii="Gill Sans MT" w:hAnsi="Gill Sans MT"/>
                <w:b w:val="0"/>
                <w:sz w:val="18"/>
                <w:szCs w:val="20"/>
              </w:rPr>
            </w:pPr>
            <w:r w:rsidRPr="00200B1A">
              <w:rPr>
                <w:rFonts w:ascii="Gill Sans MT" w:hAnsi="Gill Sans MT"/>
                <w:b w:val="0"/>
                <w:sz w:val="18"/>
                <w:szCs w:val="20"/>
              </w:rPr>
              <w:t xml:space="preserve">The proposed development is inconsistent with the desired future character for the zone, and contrary to the planning scheme requirements regarding a bulk and scale consistent and compatible with surrounding development.  </w:t>
            </w:r>
          </w:p>
        </w:tc>
        <w:tc>
          <w:tcPr>
            <w:tcW w:w="3403" w:type="dxa"/>
          </w:tcPr>
          <w:p w14:paraId="4209211B" w14:textId="77777777" w:rsidR="008145FD" w:rsidRPr="00200B1A" w:rsidRDefault="008145FD" w:rsidP="0077668C">
            <w:pPr>
              <w:pStyle w:val="BodyText"/>
              <w:keepNext/>
              <w:keepLines/>
              <w:rPr>
                <w:rFonts w:ascii="Gill Sans MT" w:hAnsi="Gill Sans MT"/>
                <w:b w:val="0"/>
                <w:sz w:val="18"/>
                <w:szCs w:val="20"/>
              </w:rPr>
            </w:pPr>
            <w:r w:rsidRPr="00200B1A">
              <w:rPr>
                <w:rFonts w:ascii="Gill Sans MT" w:hAnsi="Gill Sans MT"/>
                <w:b w:val="0"/>
                <w:sz w:val="18"/>
                <w:szCs w:val="20"/>
              </w:rPr>
              <w:t>The proposed development is inconsistent with the desired future character for the residential zone contrary to the requirement of clause 25.2 of the planning scheme in that its bulk and height are twice as great as, and completely out of scale with, the surrounding development.</w:t>
            </w:r>
          </w:p>
        </w:tc>
        <w:tc>
          <w:tcPr>
            <w:tcW w:w="3401" w:type="dxa"/>
          </w:tcPr>
          <w:p w14:paraId="7347EB1D" w14:textId="77777777" w:rsidR="008145FD" w:rsidRPr="00200B1A" w:rsidRDefault="008145FD" w:rsidP="0077668C">
            <w:pPr>
              <w:keepNext/>
              <w:keepLines/>
              <w:jc w:val="both"/>
              <w:rPr>
                <w:rFonts w:ascii="Gill Sans MT" w:hAnsi="Gill Sans MT"/>
                <w:i/>
                <w:sz w:val="18"/>
                <w:szCs w:val="20"/>
              </w:rPr>
            </w:pPr>
            <w:r w:rsidRPr="00200B1A">
              <w:rPr>
                <w:rFonts w:ascii="Gill Sans MT" w:hAnsi="Gill Sans MT"/>
                <w:b/>
                <w:sz w:val="18"/>
                <w:szCs w:val="20"/>
              </w:rPr>
              <w:t>The proposed development does not comply with clause 25.2 of the planning scheme</w:t>
            </w:r>
            <w:r w:rsidRPr="00200B1A">
              <w:rPr>
                <w:rFonts w:ascii="Gill Sans MT" w:hAnsi="Gill Sans MT"/>
                <w:b/>
                <w:i/>
                <w:sz w:val="18"/>
                <w:szCs w:val="20"/>
              </w:rPr>
              <w:t xml:space="preserve">.  </w:t>
            </w:r>
            <w:r w:rsidRPr="00200B1A">
              <w:rPr>
                <w:rFonts w:ascii="Gill Sans MT" w:hAnsi="Gill Sans MT"/>
                <w:i/>
                <w:sz w:val="18"/>
                <w:szCs w:val="20"/>
              </w:rPr>
              <w:t>(Because it does not say in what respect it does not comply).</w:t>
            </w:r>
          </w:p>
          <w:p w14:paraId="29139D5D" w14:textId="77777777" w:rsidR="008145FD" w:rsidRPr="00200B1A" w:rsidRDefault="008145FD" w:rsidP="0077668C">
            <w:pPr>
              <w:keepNext/>
              <w:keepLines/>
              <w:jc w:val="both"/>
              <w:rPr>
                <w:rFonts w:ascii="Gill Sans MT" w:hAnsi="Gill Sans MT"/>
                <w:i/>
                <w:sz w:val="18"/>
                <w:szCs w:val="20"/>
              </w:rPr>
            </w:pPr>
          </w:p>
          <w:p w14:paraId="7088CCED" w14:textId="77777777" w:rsidR="008145FD" w:rsidRPr="00200B1A" w:rsidRDefault="008145FD" w:rsidP="0077668C">
            <w:pPr>
              <w:keepNext/>
              <w:keepLines/>
              <w:jc w:val="both"/>
              <w:rPr>
                <w:rFonts w:ascii="Gill Sans MT" w:hAnsi="Gill Sans MT"/>
                <w:sz w:val="18"/>
                <w:szCs w:val="20"/>
              </w:rPr>
            </w:pPr>
            <w:r w:rsidRPr="00200B1A">
              <w:rPr>
                <w:rFonts w:ascii="Gill Sans MT" w:hAnsi="Gill Sans MT"/>
                <w:b/>
                <w:sz w:val="18"/>
                <w:szCs w:val="20"/>
              </w:rPr>
              <w:t xml:space="preserve">The proposed development is out of scale with surrounding development. </w:t>
            </w:r>
          </w:p>
          <w:p w14:paraId="4B2A9FA0" w14:textId="77777777" w:rsidR="008145FD" w:rsidRPr="00200B1A" w:rsidRDefault="008145FD" w:rsidP="0077668C">
            <w:pPr>
              <w:pStyle w:val="BodyText"/>
              <w:keepNext/>
              <w:keepLines/>
              <w:rPr>
                <w:rFonts w:ascii="Gill Sans MT" w:hAnsi="Gill Sans MT"/>
                <w:b w:val="0"/>
                <w:sz w:val="18"/>
                <w:szCs w:val="20"/>
              </w:rPr>
            </w:pPr>
            <w:r w:rsidRPr="00200B1A">
              <w:rPr>
                <w:rFonts w:ascii="Gill Sans MT" w:hAnsi="Gill Sans MT"/>
                <w:sz w:val="18"/>
                <w:szCs w:val="20"/>
              </w:rPr>
              <w:t xml:space="preserve"> </w:t>
            </w:r>
            <w:r w:rsidRPr="00200B1A">
              <w:rPr>
                <w:rFonts w:ascii="Gill Sans MT" w:hAnsi="Gill Sans MT"/>
                <w:b w:val="0"/>
                <w:i/>
                <w:sz w:val="18"/>
                <w:szCs w:val="20"/>
              </w:rPr>
              <w:t>(Because it does not say in what respect, or identify what provision of the planning scheme is not complied with.)</w:t>
            </w:r>
          </w:p>
        </w:tc>
      </w:tr>
      <w:tr w:rsidR="008145FD" w:rsidRPr="00200B1A" w14:paraId="448A3CDF" w14:textId="77777777" w:rsidTr="00200B1A">
        <w:trPr>
          <w:jc w:val="center"/>
        </w:trPr>
        <w:tc>
          <w:tcPr>
            <w:tcW w:w="3114" w:type="dxa"/>
          </w:tcPr>
          <w:p w14:paraId="0CA4490F" w14:textId="77777777" w:rsidR="008145FD" w:rsidRPr="00200B1A" w:rsidRDefault="008145FD" w:rsidP="0077668C">
            <w:pPr>
              <w:pStyle w:val="BodyText"/>
              <w:keepNext/>
              <w:keepLines/>
              <w:rPr>
                <w:rFonts w:ascii="Gill Sans MT" w:hAnsi="Gill Sans MT"/>
                <w:b w:val="0"/>
                <w:sz w:val="18"/>
                <w:szCs w:val="20"/>
              </w:rPr>
            </w:pPr>
            <w:r w:rsidRPr="00200B1A">
              <w:rPr>
                <w:rFonts w:ascii="Gill Sans MT" w:hAnsi="Gill Sans MT"/>
                <w:b w:val="0"/>
                <w:sz w:val="18"/>
                <w:szCs w:val="20"/>
              </w:rPr>
              <w:t>A condition limiting the use of a transport depot to three days a week is not justified by the provisions</w:t>
            </w:r>
            <w:r w:rsidRPr="00200B1A">
              <w:rPr>
                <w:rFonts w:ascii="Gill Sans MT" w:hAnsi="Gill Sans MT"/>
                <w:sz w:val="18"/>
                <w:szCs w:val="20"/>
              </w:rPr>
              <w:t xml:space="preserve"> </w:t>
            </w:r>
            <w:r w:rsidRPr="00200B1A">
              <w:rPr>
                <w:rFonts w:ascii="Gill Sans MT" w:hAnsi="Gill Sans MT"/>
                <w:b w:val="0"/>
                <w:sz w:val="18"/>
                <w:szCs w:val="20"/>
              </w:rPr>
              <w:t>of the planning scheme which require residential amenity to be maintained.</w:t>
            </w:r>
          </w:p>
        </w:tc>
        <w:tc>
          <w:tcPr>
            <w:tcW w:w="3403" w:type="dxa"/>
          </w:tcPr>
          <w:p w14:paraId="15938710" w14:textId="77777777" w:rsidR="008145FD" w:rsidRPr="00200B1A" w:rsidRDefault="008145FD" w:rsidP="0077668C">
            <w:pPr>
              <w:pStyle w:val="BodyText"/>
              <w:keepNext/>
              <w:keepLines/>
              <w:rPr>
                <w:rFonts w:ascii="Gill Sans MT" w:hAnsi="Gill Sans MT"/>
                <w:b w:val="0"/>
                <w:sz w:val="18"/>
                <w:szCs w:val="20"/>
              </w:rPr>
            </w:pPr>
            <w:r w:rsidRPr="00200B1A">
              <w:rPr>
                <w:rFonts w:ascii="Gill Sans MT" w:hAnsi="Gill Sans MT"/>
                <w:b w:val="0"/>
                <w:sz w:val="18"/>
                <w:szCs w:val="20"/>
              </w:rPr>
              <w:t>Condition 3 of the permit limiting use as a transport depot to three days a week is not justified by</w:t>
            </w:r>
            <w:r w:rsidRPr="00200B1A">
              <w:rPr>
                <w:rFonts w:ascii="Gill Sans MT" w:hAnsi="Gill Sans MT"/>
                <w:sz w:val="18"/>
                <w:szCs w:val="20"/>
              </w:rPr>
              <w:t xml:space="preserve"> </w:t>
            </w:r>
            <w:r w:rsidRPr="00200B1A">
              <w:rPr>
                <w:rFonts w:ascii="Gill Sans MT" w:hAnsi="Gill Sans MT"/>
                <w:b w:val="0"/>
                <w:sz w:val="18"/>
                <w:szCs w:val="20"/>
              </w:rPr>
              <w:t>clause 26 of the planning scheme requiring residential amenity to be maintained, because the nearest residences are at least 500 metres away.</w:t>
            </w:r>
          </w:p>
        </w:tc>
        <w:tc>
          <w:tcPr>
            <w:tcW w:w="3401" w:type="dxa"/>
          </w:tcPr>
          <w:p w14:paraId="57B136A5" w14:textId="77777777" w:rsidR="008145FD" w:rsidRPr="00200B1A" w:rsidRDefault="008145FD" w:rsidP="0077668C">
            <w:pPr>
              <w:pStyle w:val="BodyText"/>
              <w:keepNext/>
              <w:keepLines/>
              <w:rPr>
                <w:rFonts w:ascii="Gill Sans MT" w:hAnsi="Gill Sans MT"/>
                <w:b w:val="0"/>
                <w:sz w:val="18"/>
                <w:szCs w:val="20"/>
              </w:rPr>
            </w:pPr>
            <w:r w:rsidRPr="00200B1A">
              <w:rPr>
                <w:rFonts w:ascii="Gill Sans MT" w:hAnsi="Gill Sans MT"/>
                <w:sz w:val="18"/>
                <w:szCs w:val="20"/>
              </w:rPr>
              <w:t>Condition 3 of the permit is too restrictive and is not justified by the planning scheme</w:t>
            </w:r>
            <w:r w:rsidRPr="00200B1A">
              <w:rPr>
                <w:rFonts w:ascii="Gill Sans MT" w:hAnsi="Gill Sans MT"/>
                <w:i/>
                <w:sz w:val="18"/>
                <w:szCs w:val="20"/>
              </w:rPr>
              <w:t>.</w:t>
            </w:r>
            <w:r w:rsidRPr="00200B1A">
              <w:rPr>
                <w:rFonts w:ascii="Gill Sans MT" w:hAnsi="Gill Sans MT"/>
                <w:b w:val="0"/>
                <w:i/>
                <w:sz w:val="18"/>
                <w:szCs w:val="20"/>
              </w:rPr>
              <w:t xml:space="preserve">  (Because it does not say in what respect, or identify what provision of the planning scheme)</w:t>
            </w:r>
          </w:p>
        </w:tc>
      </w:tr>
      <w:tr w:rsidR="008145FD" w:rsidRPr="00200B1A" w14:paraId="612AED97" w14:textId="77777777" w:rsidTr="00200B1A">
        <w:tblPrEx>
          <w:jc w:val="left"/>
        </w:tblPrEx>
        <w:tc>
          <w:tcPr>
            <w:tcW w:w="3114" w:type="dxa"/>
          </w:tcPr>
          <w:p w14:paraId="064E0431" w14:textId="77777777" w:rsidR="008145FD" w:rsidRPr="00200B1A" w:rsidRDefault="008145FD" w:rsidP="0077668C">
            <w:pPr>
              <w:pStyle w:val="BodyText"/>
              <w:keepNext/>
              <w:keepLines/>
              <w:rPr>
                <w:rFonts w:ascii="Gill Sans MT" w:hAnsi="Gill Sans MT"/>
                <w:b w:val="0"/>
                <w:sz w:val="18"/>
                <w:szCs w:val="20"/>
              </w:rPr>
            </w:pPr>
            <w:r w:rsidRPr="00200B1A">
              <w:rPr>
                <w:rFonts w:ascii="Gill Sans MT" w:hAnsi="Gill Sans MT"/>
                <w:b w:val="0"/>
                <w:sz w:val="18"/>
                <w:szCs w:val="20"/>
              </w:rPr>
              <w:t>Overshadowing of a residence by the proposed development.</w:t>
            </w:r>
          </w:p>
        </w:tc>
        <w:tc>
          <w:tcPr>
            <w:tcW w:w="3403" w:type="dxa"/>
          </w:tcPr>
          <w:p w14:paraId="7A0382B8" w14:textId="77777777" w:rsidR="008145FD" w:rsidRPr="00200B1A" w:rsidRDefault="008145FD" w:rsidP="0077668C">
            <w:pPr>
              <w:pStyle w:val="BodyText"/>
              <w:keepNext/>
              <w:keepLines/>
              <w:widowControl w:val="0"/>
              <w:rPr>
                <w:rFonts w:ascii="Gill Sans MT" w:hAnsi="Gill Sans MT"/>
                <w:b w:val="0"/>
                <w:sz w:val="18"/>
                <w:szCs w:val="20"/>
              </w:rPr>
            </w:pPr>
            <w:r w:rsidRPr="00200B1A">
              <w:rPr>
                <w:rFonts w:ascii="Gill Sans MT" w:hAnsi="Gill Sans MT"/>
                <w:b w:val="0"/>
                <w:sz w:val="18"/>
                <w:szCs w:val="20"/>
              </w:rPr>
              <w:t>My house will be unacceptably overshadowed by the proposed development contrary to clause . . . of the planning scheme.</w:t>
            </w:r>
          </w:p>
        </w:tc>
        <w:tc>
          <w:tcPr>
            <w:tcW w:w="3401" w:type="dxa"/>
          </w:tcPr>
          <w:p w14:paraId="73BAD283" w14:textId="77777777" w:rsidR="008145FD" w:rsidRPr="00200B1A" w:rsidRDefault="008145FD" w:rsidP="0077668C">
            <w:pPr>
              <w:pStyle w:val="BodyText"/>
              <w:keepNext/>
              <w:keepLines/>
              <w:rPr>
                <w:rFonts w:ascii="Gill Sans MT" w:hAnsi="Gill Sans MT"/>
                <w:b w:val="0"/>
                <w:sz w:val="18"/>
                <w:szCs w:val="20"/>
              </w:rPr>
            </w:pPr>
            <w:r w:rsidRPr="00200B1A">
              <w:rPr>
                <w:rFonts w:ascii="Gill Sans MT" w:hAnsi="Gill Sans MT"/>
                <w:sz w:val="18"/>
                <w:szCs w:val="20"/>
              </w:rPr>
              <w:t xml:space="preserve">“The councillors did not give proper weight to their planning officer’s advice”; or “The councillors were </w:t>
            </w:r>
            <w:proofErr w:type="gramStart"/>
            <w:r w:rsidRPr="00200B1A">
              <w:rPr>
                <w:rFonts w:ascii="Gill Sans MT" w:hAnsi="Gill Sans MT"/>
                <w:sz w:val="18"/>
                <w:szCs w:val="20"/>
              </w:rPr>
              <w:t>biased”</w:t>
            </w:r>
            <w:r w:rsidRPr="00200B1A">
              <w:rPr>
                <w:rFonts w:ascii="Gill Sans MT" w:hAnsi="Gill Sans MT"/>
                <w:b w:val="0"/>
                <w:sz w:val="18"/>
                <w:szCs w:val="20"/>
              </w:rPr>
              <w:t xml:space="preserve">  </w:t>
            </w:r>
            <w:r w:rsidRPr="00200B1A">
              <w:rPr>
                <w:rFonts w:ascii="Gill Sans MT" w:hAnsi="Gill Sans MT"/>
                <w:b w:val="0"/>
                <w:i/>
                <w:noProof/>
                <w:sz w:val="18"/>
                <w:szCs w:val="20"/>
              </w:rPr>
              <w:t>(</w:t>
            </w:r>
            <w:proofErr w:type="gramEnd"/>
            <w:r w:rsidRPr="00200B1A">
              <w:rPr>
                <w:rFonts w:ascii="Gill Sans MT" w:hAnsi="Gill Sans MT"/>
                <w:b w:val="0"/>
                <w:i/>
                <w:noProof/>
                <w:sz w:val="18"/>
                <w:szCs w:val="20"/>
              </w:rPr>
              <w:t>Irrelevant because the Tribunal is not concerned with the way in which Council reached its decision, in these respects.)</w:t>
            </w:r>
            <w:r w:rsidRPr="00200B1A">
              <w:rPr>
                <w:rFonts w:ascii="Gill Sans MT" w:hAnsi="Gill Sans MT"/>
                <w:b w:val="0"/>
                <w:sz w:val="18"/>
                <w:szCs w:val="20"/>
              </w:rPr>
              <w:t>.</w:t>
            </w:r>
          </w:p>
        </w:tc>
      </w:tr>
      <w:tr w:rsidR="008145FD" w:rsidRPr="00200B1A" w14:paraId="7672710F" w14:textId="77777777" w:rsidTr="00200B1A">
        <w:tblPrEx>
          <w:jc w:val="left"/>
        </w:tblPrEx>
        <w:tc>
          <w:tcPr>
            <w:tcW w:w="3114" w:type="dxa"/>
          </w:tcPr>
          <w:p w14:paraId="46E99964" w14:textId="77777777" w:rsidR="008145FD" w:rsidRPr="00200B1A" w:rsidRDefault="008145FD" w:rsidP="0077668C">
            <w:pPr>
              <w:pStyle w:val="BodyText"/>
              <w:keepNext/>
              <w:keepLines/>
              <w:rPr>
                <w:rFonts w:ascii="Gill Sans MT" w:hAnsi="Gill Sans MT"/>
                <w:b w:val="0"/>
                <w:sz w:val="18"/>
                <w:szCs w:val="20"/>
              </w:rPr>
            </w:pPr>
            <w:r w:rsidRPr="00200B1A">
              <w:rPr>
                <w:rFonts w:ascii="Gill Sans MT" w:hAnsi="Gill Sans MT"/>
                <w:b w:val="0"/>
                <w:sz w:val="18"/>
                <w:szCs w:val="20"/>
              </w:rPr>
              <w:t>The height of the development above ground level exceeds that allowed by the planning scheme.</w:t>
            </w:r>
          </w:p>
        </w:tc>
        <w:tc>
          <w:tcPr>
            <w:tcW w:w="3403" w:type="dxa"/>
          </w:tcPr>
          <w:p w14:paraId="0AAE5B83" w14:textId="77777777" w:rsidR="008145FD" w:rsidRPr="00200B1A" w:rsidRDefault="008145FD" w:rsidP="0077668C">
            <w:pPr>
              <w:pStyle w:val="BodyText"/>
              <w:keepNext/>
              <w:keepLines/>
              <w:rPr>
                <w:rFonts w:ascii="Gill Sans MT" w:hAnsi="Gill Sans MT"/>
                <w:b w:val="0"/>
                <w:sz w:val="18"/>
                <w:szCs w:val="20"/>
              </w:rPr>
            </w:pPr>
            <w:r w:rsidRPr="00200B1A">
              <w:rPr>
                <w:rFonts w:ascii="Gill Sans MT" w:hAnsi="Gill Sans MT"/>
                <w:b w:val="0"/>
                <w:sz w:val="18"/>
                <w:szCs w:val="20"/>
              </w:rPr>
              <w:t>The development is higher than allowed by clause . . . .  of the planning scheme.</w:t>
            </w:r>
          </w:p>
        </w:tc>
        <w:tc>
          <w:tcPr>
            <w:tcW w:w="3401" w:type="dxa"/>
          </w:tcPr>
          <w:p w14:paraId="5DF95D52" w14:textId="77777777" w:rsidR="008145FD" w:rsidRPr="00200B1A" w:rsidRDefault="008145FD" w:rsidP="0077668C">
            <w:pPr>
              <w:keepNext/>
              <w:keepLines/>
              <w:jc w:val="both"/>
              <w:rPr>
                <w:rFonts w:ascii="Gill Sans MT" w:hAnsi="Gill Sans MT"/>
                <w:b/>
                <w:sz w:val="18"/>
                <w:szCs w:val="20"/>
              </w:rPr>
            </w:pPr>
            <w:r w:rsidRPr="00200B1A">
              <w:rPr>
                <w:rFonts w:ascii="Gill Sans MT" w:hAnsi="Gill Sans MT"/>
                <w:b/>
                <w:sz w:val="18"/>
                <w:szCs w:val="20"/>
              </w:rPr>
              <w:t>“There are too many units in the area”.</w:t>
            </w:r>
          </w:p>
          <w:p w14:paraId="427DFD7D" w14:textId="77777777" w:rsidR="008145FD" w:rsidRPr="00200B1A" w:rsidRDefault="008145FD" w:rsidP="0077668C">
            <w:pPr>
              <w:pStyle w:val="BodyText"/>
              <w:keepNext/>
              <w:keepLines/>
              <w:rPr>
                <w:rFonts w:ascii="Gill Sans MT" w:hAnsi="Gill Sans MT"/>
                <w:b w:val="0"/>
                <w:sz w:val="18"/>
                <w:szCs w:val="20"/>
              </w:rPr>
            </w:pPr>
            <w:r w:rsidRPr="00200B1A">
              <w:rPr>
                <w:rFonts w:ascii="Gill Sans MT" w:hAnsi="Gill Sans MT"/>
                <w:b w:val="0"/>
                <w:i/>
                <w:noProof/>
                <w:sz w:val="18"/>
                <w:szCs w:val="20"/>
              </w:rPr>
              <w:t>(Because the relevant provision in the scheme controls height rather than development  density.)</w:t>
            </w:r>
          </w:p>
        </w:tc>
      </w:tr>
    </w:tbl>
    <w:p w14:paraId="1F6845AF" w14:textId="77777777" w:rsidR="003C3787" w:rsidRPr="006E18FF" w:rsidRDefault="003C3787" w:rsidP="00200B1A">
      <w:pPr>
        <w:jc w:val="both"/>
        <w:rPr>
          <w:rFonts w:ascii="Gill Sans MT" w:hAnsi="Gill Sans MT"/>
        </w:rPr>
      </w:pPr>
    </w:p>
    <w:sectPr w:rsidR="003C3787" w:rsidRPr="006E18FF" w:rsidSect="002F4BC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5D4D" w14:textId="77777777" w:rsidR="002F4BC0" w:rsidRDefault="002F4BC0" w:rsidP="002F4BC0">
      <w:r>
        <w:separator/>
      </w:r>
    </w:p>
  </w:endnote>
  <w:endnote w:type="continuationSeparator" w:id="0">
    <w:p w14:paraId="0905EE10" w14:textId="77777777" w:rsidR="002F4BC0" w:rsidRDefault="002F4BC0" w:rsidP="002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D405" w14:textId="77777777" w:rsidR="002F4BC0" w:rsidRDefault="002F4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1518" w14:textId="77777777" w:rsidR="002F4BC0" w:rsidRDefault="002F4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6128" w14:textId="77777777" w:rsidR="002F4BC0" w:rsidRPr="002F4BC0" w:rsidRDefault="002F4BC0" w:rsidP="002F4BC0">
    <w:pPr>
      <w:pStyle w:val="Footer"/>
      <w:jc w:val="right"/>
      <w:rPr>
        <w:rFonts w:ascii="Gill Sans MT" w:hAnsi="Gill Sans MT"/>
        <w:sz w:val="18"/>
      </w:rPr>
    </w:pPr>
    <w:r>
      <w:rPr>
        <w:rFonts w:ascii="Gill Sans MT" w:hAnsi="Gill Sans MT"/>
        <w:sz w:val="18"/>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E3F0" w14:textId="77777777" w:rsidR="002F4BC0" w:rsidRDefault="002F4BC0" w:rsidP="002F4BC0">
      <w:r>
        <w:separator/>
      </w:r>
    </w:p>
  </w:footnote>
  <w:footnote w:type="continuationSeparator" w:id="0">
    <w:p w14:paraId="265FC3D5" w14:textId="77777777" w:rsidR="002F4BC0" w:rsidRDefault="002F4BC0" w:rsidP="002F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635F" w14:textId="77777777" w:rsidR="002F4BC0" w:rsidRDefault="002F4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6DF6" w14:textId="77777777" w:rsidR="002F4BC0" w:rsidRDefault="002F4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98DC" w14:textId="77777777" w:rsidR="002F4BC0" w:rsidRDefault="002F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2664"/>
    <w:multiLevelType w:val="multilevel"/>
    <w:tmpl w:val="1F40442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FD65A6F"/>
    <w:multiLevelType w:val="multilevel"/>
    <w:tmpl w:val="21B2110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C8A107D"/>
    <w:multiLevelType w:val="multilevel"/>
    <w:tmpl w:val="8BFA82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9D"/>
    <w:rsid w:val="00027258"/>
    <w:rsid w:val="00030062"/>
    <w:rsid w:val="0010395F"/>
    <w:rsid w:val="00200B1A"/>
    <w:rsid w:val="002020ED"/>
    <w:rsid w:val="00211583"/>
    <w:rsid w:val="00240F9D"/>
    <w:rsid w:val="002F4BC0"/>
    <w:rsid w:val="003C3787"/>
    <w:rsid w:val="00474779"/>
    <w:rsid w:val="00485401"/>
    <w:rsid w:val="00585785"/>
    <w:rsid w:val="00681C55"/>
    <w:rsid w:val="006E18FF"/>
    <w:rsid w:val="008145FD"/>
    <w:rsid w:val="00830447"/>
    <w:rsid w:val="008D41AD"/>
    <w:rsid w:val="00940EF4"/>
    <w:rsid w:val="00B52FC0"/>
    <w:rsid w:val="00BC70E8"/>
    <w:rsid w:val="00BD17F6"/>
    <w:rsid w:val="00C46A32"/>
    <w:rsid w:val="00C72A3E"/>
    <w:rsid w:val="00D62985"/>
    <w:rsid w:val="00D9730C"/>
    <w:rsid w:val="00F5580E"/>
    <w:rsid w:val="00FA1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83526"/>
  <w15:chartTrackingRefBased/>
  <w15:docId w15:val="{2E04CB9A-12F5-40F1-8A20-77960733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F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58"/>
    <w:pPr>
      <w:ind w:left="720"/>
      <w:contextualSpacing/>
    </w:pPr>
  </w:style>
  <w:style w:type="character" w:styleId="Hyperlink">
    <w:name w:val="Hyperlink"/>
    <w:uiPriority w:val="99"/>
    <w:rsid w:val="00D9730C"/>
    <w:rPr>
      <w:color w:val="0000FF"/>
      <w:u w:val="single"/>
    </w:rPr>
  </w:style>
  <w:style w:type="paragraph" w:styleId="BodyText">
    <w:name w:val="Body Text"/>
    <w:basedOn w:val="Normal"/>
    <w:link w:val="BodyTextChar1"/>
    <w:uiPriority w:val="99"/>
    <w:rsid w:val="008145FD"/>
    <w:pPr>
      <w:spacing w:after="200" w:line="276" w:lineRule="auto"/>
    </w:pPr>
    <w:rPr>
      <w:rFonts w:ascii="Calibri" w:hAnsi="Calibri"/>
      <w:b/>
      <w:sz w:val="22"/>
      <w:szCs w:val="22"/>
    </w:rPr>
  </w:style>
  <w:style w:type="character" w:customStyle="1" w:styleId="BodyTextChar">
    <w:name w:val="Body Text Char"/>
    <w:basedOn w:val="DefaultParagraphFont"/>
    <w:semiHidden/>
    <w:rsid w:val="008145FD"/>
    <w:rPr>
      <w:sz w:val="24"/>
      <w:szCs w:val="24"/>
    </w:rPr>
  </w:style>
  <w:style w:type="paragraph" w:styleId="BodyTextIndent">
    <w:name w:val="Body Text Indent"/>
    <w:basedOn w:val="Normal"/>
    <w:link w:val="BodyTextIndentChar"/>
    <w:uiPriority w:val="99"/>
    <w:rsid w:val="008145FD"/>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rsid w:val="008145FD"/>
    <w:rPr>
      <w:rFonts w:ascii="Calibri" w:hAnsi="Calibri"/>
      <w:sz w:val="22"/>
      <w:szCs w:val="22"/>
    </w:rPr>
  </w:style>
  <w:style w:type="character" w:customStyle="1" w:styleId="BodyTextChar1">
    <w:name w:val="Body Text Char1"/>
    <w:link w:val="BodyText"/>
    <w:uiPriority w:val="99"/>
    <w:rsid w:val="008145FD"/>
    <w:rPr>
      <w:rFonts w:ascii="Calibri" w:hAnsi="Calibri"/>
      <w:b/>
      <w:sz w:val="22"/>
      <w:szCs w:val="22"/>
    </w:rPr>
  </w:style>
  <w:style w:type="paragraph" w:styleId="Header">
    <w:name w:val="header"/>
    <w:basedOn w:val="Normal"/>
    <w:link w:val="HeaderChar"/>
    <w:unhideWhenUsed/>
    <w:rsid w:val="002F4BC0"/>
    <w:pPr>
      <w:tabs>
        <w:tab w:val="center" w:pos="4513"/>
        <w:tab w:val="right" w:pos="9026"/>
      </w:tabs>
    </w:pPr>
  </w:style>
  <w:style w:type="character" w:customStyle="1" w:styleId="HeaderChar">
    <w:name w:val="Header Char"/>
    <w:basedOn w:val="DefaultParagraphFont"/>
    <w:link w:val="Header"/>
    <w:rsid w:val="002F4BC0"/>
    <w:rPr>
      <w:sz w:val="24"/>
      <w:szCs w:val="24"/>
    </w:rPr>
  </w:style>
  <w:style w:type="paragraph" w:styleId="Footer">
    <w:name w:val="footer"/>
    <w:basedOn w:val="Normal"/>
    <w:link w:val="FooterChar"/>
    <w:unhideWhenUsed/>
    <w:rsid w:val="002F4BC0"/>
    <w:pPr>
      <w:tabs>
        <w:tab w:val="center" w:pos="4513"/>
        <w:tab w:val="right" w:pos="9026"/>
      </w:tabs>
    </w:pPr>
  </w:style>
  <w:style w:type="character" w:customStyle="1" w:styleId="FooterChar">
    <w:name w:val="Footer Char"/>
    <w:basedOn w:val="DefaultParagraphFont"/>
    <w:link w:val="Footer"/>
    <w:rsid w:val="002F4BC0"/>
    <w:rPr>
      <w:sz w:val="24"/>
      <w:szCs w:val="24"/>
    </w:rPr>
  </w:style>
  <w:style w:type="paragraph" w:styleId="BalloonText">
    <w:name w:val="Balloon Text"/>
    <w:basedOn w:val="Normal"/>
    <w:link w:val="BalloonTextChar"/>
    <w:semiHidden/>
    <w:unhideWhenUsed/>
    <w:rsid w:val="00FA1ED2"/>
    <w:rPr>
      <w:rFonts w:ascii="Segoe UI" w:hAnsi="Segoe UI" w:cs="Segoe UI"/>
      <w:sz w:val="18"/>
      <w:szCs w:val="18"/>
    </w:rPr>
  </w:style>
  <w:style w:type="character" w:customStyle="1" w:styleId="BalloonTextChar">
    <w:name w:val="Balloon Text Char"/>
    <w:basedOn w:val="DefaultParagraphFont"/>
    <w:link w:val="BalloonText"/>
    <w:semiHidden/>
    <w:rsid w:val="00FA1ED2"/>
    <w:rPr>
      <w:rFonts w:ascii="Segoe UI" w:hAnsi="Segoe UI" w:cs="Segoe UI"/>
      <w:sz w:val="18"/>
      <w:szCs w:val="18"/>
    </w:rPr>
  </w:style>
  <w:style w:type="character" w:styleId="UnresolvedMention">
    <w:name w:val="Unresolved Mention"/>
    <w:basedOn w:val="DefaultParagraphFont"/>
    <w:uiPriority w:val="99"/>
    <w:semiHidden/>
    <w:unhideWhenUsed/>
    <w:rsid w:val="00202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scat.tas.gov.au/resource-and-planning/for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dpipwe.tas.gov.au/land-tasmania/land-titles-office" TargetMode="External"/><Relationship Id="rId4" Type="http://schemas.openxmlformats.org/officeDocument/2006/relationships/webSettings" Target="webSettings.xml"/><Relationship Id="rId9" Type="http://schemas.openxmlformats.org/officeDocument/2006/relationships/hyperlink" Target="https://www.tascat.tas.gov.au/resource-and-planning/fe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1394</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Harris, Hilary</cp:lastModifiedBy>
  <cp:revision>2</cp:revision>
  <cp:lastPrinted>2021-11-02T05:00:00Z</cp:lastPrinted>
  <dcterms:created xsi:type="dcterms:W3CDTF">2022-07-26T03:15:00Z</dcterms:created>
  <dcterms:modified xsi:type="dcterms:W3CDTF">2022-07-26T03:15:00Z</dcterms:modified>
</cp:coreProperties>
</file>