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2B9" w:rsidRDefault="000931B0" w:rsidP="005E09CA">
      <w:pPr>
        <w:rPr>
          <w:rFonts w:ascii="Gill Sans MT" w:hAnsi="Gill Sans MT"/>
          <w:b/>
        </w:rPr>
      </w:pPr>
      <w:r w:rsidRPr="000931B0">
        <w:rPr>
          <w:rFonts w:ascii="Gill Sans MT" w:hAnsi="Gill Sans MT"/>
          <w:b/>
          <w:noProof/>
        </w:rPr>
        <w:drawing>
          <wp:anchor distT="0" distB="0" distL="114300" distR="114300" simplePos="0" relativeHeight="251658240" behindDoc="0" locked="0" layoutInCell="1" allowOverlap="1">
            <wp:simplePos x="0" y="0"/>
            <wp:positionH relativeFrom="margin">
              <wp:posOffset>4348480</wp:posOffset>
            </wp:positionH>
            <wp:positionV relativeFrom="paragraph">
              <wp:posOffset>0</wp:posOffset>
            </wp:positionV>
            <wp:extent cx="1767840" cy="757391"/>
            <wp:effectExtent l="0" t="0" r="3810" b="5080"/>
            <wp:wrapSquare wrapText="bothSides"/>
            <wp:docPr id="1" name="Picture 1" descr="C:\Users\JarrodB\AppData\Local\Temp\Temp1_TASCAT_Collection.zip\TASCAT Logo Tagline\TASCAT_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rodB\AppData\Local\Temp\Temp1_TASCAT_Collection.zip\TASCAT Logo Tagline\TASCAT_Logo_T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840" cy="757391"/>
                    </a:xfrm>
                    <a:prstGeom prst="rect">
                      <a:avLst/>
                    </a:prstGeom>
                    <a:noFill/>
                    <a:ln>
                      <a:noFill/>
                    </a:ln>
                  </pic:spPr>
                </pic:pic>
              </a:graphicData>
            </a:graphic>
          </wp:anchor>
        </w:drawing>
      </w:r>
    </w:p>
    <w:p w:rsidR="000142B9" w:rsidRDefault="000142B9" w:rsidP="005E09CA">
      <w:pPr>
        <w:rPr>
          <w:rFonts w:ascii="Gill Sans MT" w:hAnsi="Gill Sans MT"/>
          <w:b/>
        </w:rPr>
      </w:pPr>
    </w:p>
    <w:p w:rsidR="000142B9" w:rsidRDefault="000142B9" w:rsidP="005E09CA">
      <w:pPr>
        <w:rPr>
          <w:rFonts w:ascii="Gill Sans MT" w:hAnsi="Gill Sans MT"/>
          <w:b/>
        </w:rPr>
      </w:pPr>
    </w:p>
    <w:p w:rsidR="00282915" w:rsidRDefault="00282915" w:rsidP="005E09CA">
      <w:pPr>
        <w:rPr>
          <w:rFonts w:ascii="Gill Sans MT" w:hAnsi="Gill Sans MT"/>
          <w:b/>
        </w:rPr>
      </w:pPr>
    </w:p>
    <w:p w:rsidR="00282915" w:rsidRDefault="00282915" w:rsidP="005E09CA">
      <w:pPr>
        <w:rPr>
          <w:rFonts w:ascii="Gill Sans MT" w:hAnsi="Gill Sans MT"/>
          <w:b/>
        </w:rPr>
      </w:pPr>
    </w:p>
    <w:p w:rsidR="00441031" w:rsidRPr="006E690C" w:rsidRDefault="006E690C" w:rsidP="006E690C">
      <w:pPr>
        <w:pBdr>
          <w:bottom w:val="single" w:sz="4" w:space="1" w:color="auto"/>
        </w:pBdr>
        <w:rPr>
          <w:rFonts w:ascii="Gill Sans MT" w:hAnsi="Gill Sans MT"/>
          <w:b/>
          <w:sz w:val="44"/>
        </w:rPr>
      </w:pPr>
      <w:r w:rsidRPr="006E690C">
        <w:rPr>
          <w:rFonts w:ascii="Gill Sans MT" w:hAnsi="Gill Sans MT"/>
          <w:b/>
          <w:sz w:val="44"/>
        </w:rPr>
        <w:t>INFORMATION SHEET 1</w:t>
      </w:r>
      <w:r w:rsidR="00BE5AE2">
        <w:rPr>
          <w:rFonts w:ascii="Gill Sans MT" w:hAnsi="Gill Sans MT"/>
          <w:b/>
          <w:sz w:val="44"/>
        </w:rPr>
        <w:t xml:space="preserve"> – General Guide and Transition Information</w:t>
      </w:r>
    </w:p>
    <w:p w:rsidR="00BE7563" w:rsidRDefault="00BE7563" w:rsidP="00CC0113">
      <w:pPr>
        <w:jc w:val="both"/>
        <w:rPr>
          <w:rFonts w:ascii="Gill Sans MT" w:hAnsi="Gill Sans MT"/>
          <w:b/>
        </w:rPr>
      </w:pPr>
    </w:p>
    <w:p w:rsidR="00996493" w:rsidRPr="00BE7563" w:rsidRDefault="00BE5AE2" w:rsidP="00CC0113">
      <w:pPr>
        <w:jc w:val="both"/>
        <w:rPr>
          <w:rFonts w:ascii="Gill Sans MT" w:hAnsi="Gill Sans MT"/>
          <w:b/>
        </w:rPr>
      </w:pPr>
      <w:r>
        <w:rPr>
          <w:rFonts w:ascii="Gill Sans MT" w:hAnsi="Gill Sans MT"/>
          <w:b/>
        </w:rPr>
        <w:t>WHAT THE RPS OF</w:t>
      </w:r>
      <w:r w:rsidR="00996493" w:rsidRPr="00BE7563">
        <w:rPr>
          <w:rFonts w:ascii="Gill Sans MT" w:hAnsi="Gill Sans MT"/>
          <w:b/>
        </w:rPr>
        <w:t xml:space="preserve"> TASCAT DOES:</w:t>
      </w:r>
    </w:p>
    <w:p w:rsidR="00996493" w:rsidRPr="00CC0113" w:rsidRDefault="00996493" w:rsidP="00CC0113">
      <w:pPr>
        <w:jc w:val="both"/>
        <w:rPr>
          <w:rFonts w:ascii="Gill Sans MT" w:hAnsi="Gill Sans MT"/>
        </w:rPr>
      </w:pPr>
    </w:p>
    <w:p w:rsidR="00996493" w:rsidRPr="00CC0113" w:rsidRDefault="00996493" w:rsidP="001D4D6E">
      <w:pPr>
        <w:pStyle w:val="ListParagraph"/>
        <w:numPr>
          <w:ilvl w:val="1"/>
          <w:numId w:val="1"/>
        </w:numPr>
        <w:jc w:val="both"/>
        <w:rPr>
          <w:rFonts w:ascii="Gill Sans MT" w:hAnsi="Gill Sans MT"/>
        </w:rPr>
      </w:pPr>
      <w:r w:rsidRPr="00CC0113">
        <w:rPr>
          <w:rFonts w:ascii="Gill Sans MT" w:hAnsi="Gill Sans MT"/>
        </w:rPr>
        <w:t>The Reso</w:t>
      </w:r>
      <w:r w:rsidR="00BE5AE2">
        <w:rPr>
          <w:rFonts w:ascii="Gill Sans MT" w:hAnsi="Gill Sans MT"/>
        </w:rPr>
        <w:t xml:space="preserve">urce and Planning Stream of </w:t>
      </w:r>
      <w:r w:rsidRPr="00CC0113">
        <w:rPr>
          <w:rFonts w:ascii="Gill Sans MT" w:hAnsi="Gill Sans MT"/>
        </w:rPr>
        <w:t xml:space="preserve">TASCAT hears and determines a broad range of applications and appeals under </w:t>
      </w:r>
      <w:hyperlink r:id="rId9" w:history="1">
        <w:r w:rsidR="001D4D6E" w:rsidRPr="00184027">
          <w:rPr>
            <w:rStyle w:val="Hyperlink"/>
            <w:rFonts w:ascii="Gill Sans MT" w:hAnsi="Gill Sans MT"/>
          </w:rPr>
          <w:t>https://www.tascat.tas.gov.au/resource-and-planning/legislation</w:t>
        </w:r>
      </w:hyperlink>
      <w:r w:rsidR="001D4D6E">
        <w:rPr>
          <w:rFonts w:ascii="Gill Sans MT" w:hAnsi="Gill Sans MT"/>
        </w:rPr>
        <w:t xml:space="preserve">. </w:t>
      </w:r>
      <w:r w:rsidRPr="00CC0113">
        <w:rPr>
          <w:rFonts w:ascii="Gill Sans MT" w:hAnsi="Gill Sans MT"/>
        </w:rPr>
        <w:t>These applications and appeals are legal proceedings that are determined by applying the evidence and findin</w:t>
      </w:r>
      <w:bookmarkStart w:id="0" w:name="_GoBack"/>
      <w:bookmarkEnd w:id="0"/>
      <w:r w:rsidRPr="00CC0113">
        <w:rPr>
          <w:rFonts w:ascii="Gill Sans MT" w:hAnsi="Gill Sans MT"/>
        </w:rPr>
        <w:t>gs of fact made by the Tribunal, to the relevant legal tests set out in legislation or case law.</w:t>
      </w:r>
    </w:p>
    <w:p w:rsidR="00996493" w:rsidRPr="00CC0113" w:rsidRDefault="00996493" w:rsidP="00CC0113">
      <w:pPr>
        <w:jc w:val="both"/>
        <w:rPr>
          <w:rFonts w:ascii="Gill Sans MT" w:hAnsi="Gill Sans MT"/>
        </w:rPr>
      </w:pPr>
    </w:p>
    <w:p w:rsidR="00996493" w:rsidRPr="00CC0113" w:rsidRDefault="00996493" w:rsidP="00282915">
      <w:pPr>
        <w:pStyle w:val="ListParagraph"/>
        <w:numPr>
          <w:ilvl w:val="1"/>
          <w:numId w:val="1"/>
        </w:numPr>
        <w:ind w:left="567" w:hanging="567"/>
        <w:jc w:val="both"/>
        <w:rPr>
          <w:rFonts w:ascii="Gill Sans MT" w:hAnsi="Gill Sans MT"/>
        </w:rPr>
      </w:pPr>
      <w:r w:rsidRPr="00CC0113">
        <w:rPr>
          <w:rFonts w:ascii="Gill Sans MT" w:hAnsi="Gill Sans MT"/>
        </w:rPr>
        <w:t xml:space="preserve">The process used by the RPS to hear and determine matters follows very similar steps across its jurisdictions.  </w:t>
      </w:r>
    </w:p>
    <w:p w:rsidR="00996493" w:rsidRPr="00CC0113" w:rsidRDefault="00996493" w:rsidP="00CC0113">
      <w:pPr>
        <w:pStyle w:val="ListParagraph"/>
        <w:jc w:val="both"/>
        <w:rPr>
          <w:rFonts w:ascii="Gill Sans MT" w:hAnsi="Gill Sans MT"/>
        </w:rPr>
      </w:pPr>
    </w:p>
    <w:p w:rsidR="00996493" w:rsidRDefault="00996493" w:rsidP="00282915">
      <w:pPr>
        <w:pStyle w:val="ListParagraph"/>
        <w:numPr>
          <w:ilvl w:val="0"/>
          <w:numId w:val="2"/>
        </w:numPr>
        <w:ind w:left="1134" w:hanging="567"/>
        <w:jc w:val="both"/>
        <w:rPr>
          <w:rFonts w:ascii="Gill Sans MT" w:hAnsi="Gill Sans MT"/>
        </w:rPr>
      </w:pPr>
      <w:r w:rsidRPr="00CC0113">
        <w:rPr>
          <w:rFonts w:ascii="Gill Sans MT" w:hAnsi="Gill Sans MT"/>
        </w:rPr>
        <w:t>Proceedings are filed and relevant persons are notified of the proceedings</w:t>
      </w:r>
    </w:p>
    <w:p w:rsidR="003B6E5F" w:rsidRPr="00CC0113" w:rsidRDefault="003B6E5F" w:rsidP="00282915">
      <w:pPr>
        <w:pStyle w:val="ListParagraph"/>
        <w:ind w:left="1134" w:hanging="567"/>
        <w:jc w:val="both"/>
        <w:rPr>
          <w:rFonts w:ascii="Gill Sans MT" w:hAnsi="Gill Sans MT"/>
        </w:rPr>
      </w:pPr>
    </w:p>
    <w:p w:rsidR="00996493" w:rsidRDefault="00996493" w:rsidP="00282915">
      <w:pPr>
        <w:pStyle w:val="ListParagraph"/>
        <w:numPr>
          <w:ilvl w:val="0"/>
          <w:numId w:val="2"/>
        </w:numPr>
        <w:ind w:left="1134" w:hanging="567"/>
        <w:jc w:val="both"/>
        <w:rPr>
          <w:rFonts w:ascii="Gill Sans MT" w:hAnsi="Gill Sans MT"/>
        </w:rPr>
      </w:pPr>
      <w:r w:rsidRPr="00CC0113">
        <w:rPr>
          <w:rFonts w:ascii="Gill Sans MT" w:hAnsi="Gill Sans MT"/>
        </w:rPr>
        <w:t>A preliminary conference will be listed within 10-14 days of the proceedings being filed</w:t>
      </w:r>
    </w:p>
    <w:p w:rsidR="003B6E5F" w:rsidRPr="003B6E5F" w:rsidRDefault="003B6E5F" w:rsidP="00282915">
      <w:pPr>
        <w:ind w:left="1134" w:hanging="567"/>
        <w:jc w:val="both"/>
        <w:rPr>
          <w:rFonts w:ascii="Gill Sans MT" w:hAnsi="Gill Sans MT"/>
        </w:rPr>
      </w:pPr>
    </w:p>
    <w:p w:rsidR="00996493" w:rsidRDefault="00BE7563" w:rsidP="00282915">
      <w:pPr>
        <w:pStyle w:val="ListParagraph"/>
        <w:numPr>
          <w:ilvl w:val="0"/>
          <w:numId w:val="2"/>
        </w:numPr>
        <w:ind w:left="1134" w:hanging="567"/>
        <w:jc w:val="both"/>
        <w:rPr>
          <w:rFonts w:ascii="Gill Sans MT" w:hAnsi="Gill Sans MT"/>
        </w:rPr>
      </w:pPr>
      <w:r>
        <w:rPr>
          <w:rFonts w:ascii="Gill Sans MT" w:hAnsi="Gill Sans MT"/>
        </w:rPr>
        <w:t>The preliminary</w:t>
      </w:r>
      <w:r w:rsidR="00996493" w:rsidRPr="00CC0113">
        <w:rPr>
          <w:rFonts w:ascii="Gill Sans MT" w:hAnsi="Gill Sans MT"/>
        </w:rPr>
        <w:t xml:space="preserve"> conference</w:t>
      </w:r>
      <w:r>
        <w:rPr>
          <w:rFonts w:ascii="Gill Sans MT" w:hAnsi="Gill Sans MT"/>
        </w:rPr>
        <w:t xml:space="preserve"> will cover</w:t>
      </w:r>
      <w:r w:rsidR="00996493" w:rsidRPr="00CC0113">
        <w:rPr>
          <w:rFonts w:ascii="Gill Sans MT" w:hAnsi="Gill Sans MT"/>
        </w:rPr>
        <w:t xml:space="preserve"> a range of administrative decisions and directions including</w:t>
      </w:r>
      <w:r>
        <w:rPr>
          <w:rFonts w:ascii="Gill Sans MT" w:hAnsi="Gill Sans MT"/>
        </w:rPr>
        <w:t xml:space="preserve">: listings for mediation; </w:t>
      </w:r>
      <w:r w:rsidR="00996493" w:rsidRPr="00CC0113">
        <w:rPr>
          <w:rFonts w:ascii="Gill Sans MT" w:hAnsi="Gill Sans MT"/>
        </w:rPr>
        <w:t>a full hearing</w:t>
      </w:r>
      <w:r>
        <w:rPr>
          <w:rFonts w:ascii="Gill Sans MT" w:hAnsi="Gill Sans MT"/>
        </w:rPr>
        <w:t xml:space="preserve"> date listing;</w:t>
      </w:r>
      <w:r w:rsidR="00996493" w:rsidRPr="00CC0113">
        <w:rPr>
          <w:rFonts w:ascii="Gill Sans MT" w:hAnsi="Gill Sans MT"/>
        </w:rPr>
        <w:t xml:space="preserve"> </w:t>
      </w:r>
      <w:r>
        <w:rPr>
          <w:rFonts w:ascii="Gill Sans MT" w:hAnsi="Gill Sans MT"/>
        </w:rPr>
        <w:t xml:space="preserve">directions for exchanging evidence; </w:t>
      </w:r>
      <w:r w:rsidR="00996493" w:rsidRPr="00CC0113">
        <w:rPr>
          <w:rFonts w:ascii="Gill Sans MT" w:hAnsi="Gill Sans MT"/>
        </w:rPr>
        <w:t>and any directions regarding matters raised during the conference</w:t>
      </w:r>
      <w:r>
        <w:rPr>
          <w:rFonts w:ascii="Gill Sans MT" w:hAnsi="Gill Sans MT"/>
        </w:rPr>
        <w:t xml:space="preserve"> such as applications to join or grounds of appeal</w:t>
      </w:r>
      <w:r w:rsidR="00996493" w:rsidRPr="00CC0113">
        <w:rPr>
          <w:rFonts w:ascii="Gill Sans MT" w:hAnsi="Gill Sans MT"/>
        </w:rPr>
        <w:t>.  The proceedings will also be reviewed for suitability for mediation and ADR.</w:t>
      </w:r>
    </w:p>
    <w:p w:rsidR="003B6E5F" w:rsidRPr="003B6E5F" w:rsidRDefault="003B6E5F" w:rsidP="00282915">
      <w:pPr>
        <w:ind w:left="1134" w:hanging="567"/>
        <w:jc w:val="both"/>
        <w:rPr>
          <w:rFonts w:ascii="Gill Sans MT" w:hAnsi="Gill Sans MT"/>
        </w:rPr>
      </w:pPr>
    </w:p>
    <w:p w:rsidR="00996493" w:rsidRDefault="00207664" w:rsidP="00282915">
      <w:pPr>
        <w:pStyle w:val="ListParagraph"/>
        <w:numPr>
          <w:ilvl w:val="0"/>
          <w:numId w:val="2"/>
        </w:numPr>
        <w:ind w:left="1134" w:hanging="567"/>
        <w:jc w:val="both"/>
        <w:rPr>
          <w:rFonts w:ascii="Gill Sans MT" w:hAnsi="Gill Sans MT"/>
        </w:rPr>
      </w:pPr>
      <w:r>
        <w:rPr>
          <w:rFonts w:ascii="Gill Sans MT" w:hAnsi="Gill Sans MT"/>
        </w:rPr>
        <w:t>Alternative Dispute Resolution (</w:t>
      </w:r>
      <w:r w:rsidR="00996493" w:rsidRPr="00CC0113">
        <w:rPr>
          <w:rFonts w:ascii="Gill Sans MT" w:hAnsi="Gill Sans MT"/>
        </w:rPr>
        <w:t>ADR</w:t>
      </w:r>
      <w:r>
        <w:rPr>
          <w:rFonts w:ascii="Gill Sans MT" w:hAnsi="Gill Sans MT"/>
        </w:rPr>
        <w:t>)</w:t>
      </w:r>
      <w:r w:rsidR="00996493" w:rsidRPr="00CC0113">
        <w:rPr>
          <w:rFonts w:ascii="Gill Sans MT" w:hAnsi="Gill Sans MT"/>
        </w:rPr>
        <w:t xml:space="preserve"> or mediation </w:t>
      </w:r>
      <w:r w:rsidR="003E2CED">
        <w:rPr>
          <w:rFonts w:ascii="Gill Sans MT" w:hAnsi="Gill Sans MT"/>
        </w:rPr>
        <w:t xml:space="preserve">is </w:t>
      </w:r>
      <w:r w:rsidR="00996493" w:rsidRPr="00CC0113">
        <w:rPr>
          <w:rFonts w:ascii="Gill Sans MT" w:hAnsi="Gill Sans MT"/>
        </w:rPr>
        <w:t xml:space="preserve">very common in the RPS and if the case officer is satisfied it is appropriate it is listed </w:t>
      </w:r>
      <w:r w:rsidR="00BE7563">
        <w:rPr>
          <w:rFonts w:ascii="Gill Sans MT" w:hAnsi="Gill Sans MT"/>
        </w:rPr>
        <w:t xml:space="preserve">usually </w:t>
      </w:r>
      <w:r w:rsidR="00996493" w:rsidRPr="00CC0113">
        <w:rPr>
          <w:rFonts w:ascii="Gill Sans MT" w:hAnsi="Gill Sans MT"/>
        </w:rPr>
        <w:t>within 7</w:t>
      </w:r>
      <w:r w:rsidR="00C13445">
        <w:rPr>
          <w:rFonts w:ascii="Gill Sans MT" w:hAnsi="Gill Sans MT"/>
        </w:rPr>
        <w:t>-14</w:t>
      </w:r>
      <w:r w:rsidR="00996493" w:rsidRPr="00CC0113">
        <w:rPr>
          <w:rFonts w:ascii="Gill Sans MT" w:hAnsi="Gill Sans MT"/>
        </w:rPr>
        <w:t xml:space="preserve"> days of the preliminary conference. </w:t>
      </w:r>
    </w:p>
    <w:p w:rsidR="003B6E5F" w:rsidRPr="003B6E5F" w:rsidRDefault="003B6E5F" w:rsidP="00282915">
      <w:pPr>
        <w:ind w:left="1134" w:hanging="567"/>
        <w:jc w:val="both"/>
        <w:rPr>
          <w:rFonts w:ascii="Gill Sans MT" w:hAnsi="Gill Sans MT"/>
        </w:rPr>
      </w:pPr>
    </w:p>
    <w:p w:rsidR="00996493" w:rsidRDefault="00996493" w:rsidP="00282915">
      <w:pPr>
        <w:pStyle w:val="ListParagraph"/>
        <w:numPr>
          <w:ilvl w:val="0"/>
          <w:numId w:val="2"/>
        </w:numPr>
        <w:ind w:left="1134" w:hanging="567"/>
        <w:jc w:val="both"/>
        <w:rPr>
          <w:rFonts w:ascii="Gill Sans MT" w:hAnsi="Gill Sans MT"/>
        </w:rPr>
      </w:pPr>
      <w:r w:rsidRPr="00CC0113">
        <w:rPr>
          <w:rFonts w:ascii="Gill Sans MT" w:hAnsi="Gill Sans MT"/>
        </w:rPr>
        <w:t>If the proceedings are not resolved by ADR, the parties will proceed to a hearing.  That hearing is usually listed 6-8 weeks from the date of the preliminary conference.</w:t>
      </w:r>
    </w:p>
    <w:p w:rsidR="003B6E5F" w:rsidRPr="003B6E5F" w:rsidRDefault="003B6E5F" w:rsidP="00282915">
      <w:pPr>
        <w:ind w:left="1134" w:hanging="567"/>
        <w:jc w:val="both"/>
        <w:rPr>
          <w:rFonts w:ascii="Gill Sans MT" w:hAnsi="Gill Sans MT"/>
        </w:rPr>
      </w:pPr>
    </w:p>
    <w:p w:rsidR="00996493" w:rsidRDefault="00996493" w:rsidP="00282915">
      <w:pPr>
        <w:pStyle w:val="ListParagraph"/>
        <w:numPr>
          <w:ilvl w:val="0"/>
          <w:numId w:val="2"/>
        </w:numPr>
        <w:ind w:left="1134" w:hanging="567"/>
        <w:jc w:val="both"/>
        <w:rPr>
          <w:rFonts w:ascii="Gill Sans MT" w:hAnsi="Gill Sans MT"/>
        </w:rPr>
      </w:pPr>
      <w:r w:rsidRPr="00CC0113">
        <w:rPr>
          <w:rFonts w:ascii="Gill Sans MT" w:hAnsi="Gill Sans MT"/>
        </w:rPr>
        <w:t>Once the hearing is concluded the Tribunal will issue a decision usually within 4 weeks of the hearing.</w:t>
      </w:r>
    </w:p>
    <w:p w:rsidR="003B6E5F" w:rsidRPr="003B6E5F" w:rsidRDefault="003B6E5F" w:rsidP="00282915">
      <w:pPr>
        <w:ind w:left="1134" w:hanging="567"/>
        <w:jc w:val="both"/>
        <w:rPr>
          <w:rFonts w:ascii="Gill Sans MT" w:hAnsi="Gill Sans MT"/>
        </w:rPr>
      </w:pPr>
    </w:p>
    <w:p w:rsidR="00996493" w:rsidRPr="00CC0113" w:rsidRDefault="00996493" w:rsidP="00282915">
      <w:pPr>
        <w:pStyle w:val="ListParagraph"/>
        <w:numPr>
          <w:ilvl w:val="0"/>
          <w:numId w:val="2"/>
        </w:numPr>
        <w:ind w:left="1134" w:hanging="567"/>
        <w:jc w:val="both"/>
        <w:rPr>
          <w:rFonts w:ascii="Gill Sans MT" w:hAnsi="Gill Sans MT"/>
        </w:rPr>
      </w:pPr>
      <w:r w:rsidRPr="00CC0113">
        <w:rPr>
          <w:rFonts w:ascii="Gill Sans MT" w:hAnsi="Gill Sans MT"/>
        </w:rPr>
        <w:t xml:space="preserve">The Tribunal must determine any proceedings within 90 days </w:t>
      </w:r>
      <w:r w:rsidRPr="00164D20">
        <w:rPr>
          <w:rFonts w:ascii="Gill Sans MT" w:hAnsi="Gill Sans MT"/>
        </w:rPr>
        <w:t xml:space="preserve">(see </w:t>
      </w:r>
      <w:r w:rsidR="00164D20" w:rsidRPr="00164D20">
        <w:rPr>
          <w:rFonts w:ascii="Gill Sans MT" w:hAnsi="Gill Sans MT"/>
        </w:rPr>
        <w:t xml:space="preserve">Schedule 2, Part 8, Clause 9(1) of the </w:t>
      </w:r>
      <w:r w:rsidR="00164D20" w:rsidRPr="00164D20">
        <w:rPr>
          <w:rFonts w:ascii="Gill Sans MT" w:hAnsi="Gill Sans MT"/>
          <w:i/>
        </w:rPr>
        <w:t>Tasmanian Civil and Administrative Tribunal Act 202</w:t>
      </w:r>
      <w:r w:rsidR="00044306">
        <w:rPr>
          <w:rFonts w:ascii="Gill Sans MT" w:hAnsi="Gill Sans MT"/>
          <w:i/>
        </w:rPr>
        <w:t>0</w:t>
      </w:r>
      <w:r w:rsidRPr="00164D20">
        <w:rPr>
          <w:rFonts w:ascii="Gill Sans MT" w:hAnsi="Gill Sans MT"/>
        </w:rPr>
        <w:t>)</w:t>
      </w:r>
      <w:r w:rsidRPr="00CC0113">
        <w:rPr>
          <w:rFonts w:ascii="Gill Sans MT" w:hAnsi="Gill Sans MT"/>
        </w:rPr>
        <w:t xml:space="preserve"> but may vary that timeframe depending on the circumstances of each proceedings (such as parties</w:t>
      </w:r>
      <w:r w:rsidR="00BE7563">
        <w:rPr>
          <w:rFonts w:ascii="Gill Sans MT" w:hAnsi="Gill Sans MT"/>
        </w:rPr>
        <w:t>’</w:t>
      </w:r>
      <w:r w:rsidRPr="00CC0113">
        <w:rPr>
          <w:rFonts w:ascii="Gill Sans MT" w:hAnsi="Gill Sans MT"/>
        </w:rPr>
        <w:t xml:space="preserve"> readiness to proceed to full hearing, witness availability, legal representative availability, time required to complete ADR).</w:t>
      </w:r>
    </w:p>
    <w:p w:rsidR="00996493" w:rsidRPr="00CC0113" w:rsidRDefault="00996493" w:rsidP="00282915">
      <w:pPr>
        <w:pStyle w:val="ListParagraph"/>
        <w:ind w:left="1134" w:hanging="567"/>
        <w:jc w:val="both"/>
        <w:rPr>
          <w:rFonts w:ascii="Gill Sans MT" w:hAnsi="Gill Sans MT"/>
        </w:rPr>
      </w:pPr>
    </w:p>
    <w:p w:rsidR="00996493" w:rsidRPr="00CC0113" w:rsidRDefault="00CC0113" w:rsidP="000142B9">
      <w:pPr>
        <w:pStyle w:val="ListParagraph"/>
        <w:numPr>
          <w:ilvl w:val="1"/>
          <w:numId w:val="1"/>
        </w:numPr>
        <w:ind w:left="567" w:hanging="567"/>
        <w:jc w:val="both"/>
        <w:rPr>
          <w:rFonts w:ascii="Gill Sans MT" w:hAnsi="Gill Sans MT"/>
        </w:rPr>
      </w:pPr>
      <w:r w:rsidRPr="00CC0113">
        <w:rPr>
          <w:rFonts w:ascii="Gill Sans MT" w:hAnsi="Gill Sans MT"/>
        </w:rPr>
        <w:t>When you file proceedings or become a party to proceedings you are expected to comply with all directions of the Tribunal, attend all listings and hearings (or arrange a representative to do so)</w:t>
      </w:r>
      <w:r w:rsidR="00BE7563">
        <w:rPr>
          <w:rFonts w:ascii="Gill Sans MT" w:hAnsi="Gill Sans MT"/>
        </w:rPr>
        <w:t xml:space="preserve"> which are listed in normal working hours</w:t>
      </w:r>
      <w:r w:rsidRPr="00CC0113">
        <w:rPr>
          <w:rFonts w:ascii="Gill Sans MT" w:hAnsi="Gill Sans MT"/>
        </w:rPr>
        <w:t>, and actively present a case.</w:t>
      </w:r>
      <w:r w:rsidR="00BE7563">
        <w:rPr>
          <w:rFonts w:ascii="Gill Sans MT" w:hAnsi="Gill Sans MT"/>
        </w:rPr>
        <w:t xml:space="preserve">  By being a party to legal proceedings you are expected to give priority to those proceedings.  A failure </w:t>
      </w:r>
      <w:r w:rsidR="00BE7563">
        <w:rPr>
          <w:rFonts w:ascii="Gill Sans MT" w:hAnsi="Gill Sans MT"/>
        </w:rPr>
        <w:lastRenderedPageBreak/>
        <w:t>to attend or comply with directions may result in your dismissal as a party, and in some cases, a costs order issuing against the person who did not comply with listings or directions.</w:t>
      </w:r>
    </w:p>
    <w:p w:rsidR="00BE7563" w:rsidRPr="00CC0113" w:rsidRDefault="00BE7563" w:rsidP="000142B9">
      <w:pPr>
        <w:ind w:left="567" w:hanging="567"/>
        <w:jc w:val="both"/>
        <w:rPr>
          <w:rFonts w:ascii="Gill Sans MT" w:hAnsi="Gill Sans MT"/>
        </w:rPr>
      </w:pPr>
    </w:p>
    <w:p w:rsidR="00BE7563" w:rsidRDefault="00CC0113" w:rsidP="000142B9">
      <w:pPr>
        <w:pStyle w:val="ListParagraph"/>
        <w:numPr>
          <w:ilvl w:val="1"/>
          <w:numId w:val="1"/>
        </w:numPr>
        <w:ind w:left="567" w:hanging="567"/>
        <w:jc w:val="both"/>
        <w:rPr>
          <w:rFonts w:ascii="Gill Sans MT" w:hAnsi="Gill Sans MT"/>
        </w:rPr>
      </w:pPr>
      <w:r w:rsidRPr="00BE7563">
        <w:rPr>
          <w:rFonts w:ascii="Gill Sans MT" w:hAnsi="Gill Sans MT"/>
        </w:rPr>
        <w:t xml:space="preserve">At the conclusion of proceedings the Tribunal </w:t>
      </w:r>
      <w:r w:rsidR="00BE5AE2">
        <w:rPr>
          <w:rFonts w:ascii="Gill Sans MT" w:hAnsi="Gill Sans MT"/>
        </w:rPr>
        <w:t>will ordinarily make an order for costs that each party bear its own costs of the</w:t>
      </w:r>
      <w:r w:rsidRPr="00BE7563">
        <w:rPr>
          <w:rFonts w:ascii="Gill Sans MT" w:hAnsi="Gill Sans MT"/>
        </w:rPr>
        <w:t xml:space="preserve"> proceedings</w:t>
      </w:r>
      <w:r w:rsidR="00BE5AE2">
        <w:rPr>
          <w:rFonts w:ascii="Gill Sans MT" w:hAnsi="Gill Sans MT"/>
        </w:rPr>
        <w:t xml:space="preserve"> but will give parties 21 days to make an application for a costs order to be made against one or more parties before the order takes effect.  </w:t>
      </w:r>
      <w:r w:rsidRPr="00BE7563">
        <w:rPr>
          <w:rFonts w:ascii="Gill Sans MT" w:hAnsi="Gill Sans MT"/>
        </w:rPr>
        <w:t xml:space="preserve">You should read Information Sheet </w:t>
      </w:r>
      <w:r w:rsidR="00164D20">
        <w:rPr>
          <w:rFonts w:ascii="Gill Sans MT" w:hAnsi="Gill Sans MT"/>
        </w:rPr>
        <w:t>10</w:t>
      </w:r>
      <w:r w:rsidRPr="00BE7563">
        <w:rPr>
          <w:rFonts w:ascii="Gill Sans MT" w:hAnsi="Gill Sans MT"/>
        </w:rPr>
        <w:t xml:space="preserve"> for more information.  The Tribunal does not charge parties any fees except those required for lodging proceedings.  On some rare occasions the Tribunal may issue an order for its own costs.</w:t>
      </w:r>
    </w:p>
    <w:p w:rsidR="00BE7563" w:rsidRPr="00BE7563" w:rsidRDefault="00BE7563" w:rsidP="000142B9">
      <w:pPr>
        <w:pStyle w:val="ListParagraph"/>
        <w:ind w:left="567" w:hanging="567"/>
        <w:jc w:val="both"/>
        <w:rPr>
          <w:rFonts w:ascii="Gill Sans MT" w:hAnsi="Gill Sans MT"/>
        </w:rPr>
      </w:pPr>
    </w:p>
    <w:p w:rsidR="00BE7563" w:rsidRPr="00BE7563" w:rsidRDefault="00BE7563" w:rsidP="000142B9">
      <w:pPr>
        <w:pStyle w:val="ListParagraph"/>
        <w:numPr>
          <w:ilvl w:val="1"/>
          <w:numId w:val="1"/>
        </w:numPr>
        <w:ind w:left="567" w:hanging="567"/>
        <w:jc w:val="both"/>
        <w:rPr>
          <w:rFonts w:ascii="Gill Sans MT" w:hAnsi="Gill Sans MT"/>
        </w:rPr>
      </w:pPr>
      <w:r>
        <w:rPr>
          <w:rFonts w:ascii="Gill Sans MT" w:hAnsi="Gill Sans MT"/>
        </w:rPr>
        <w:t>All material submitted as part of your involvement in proceedings before the Tribunal are public documents can be made available to the public for inspection.</w:t>
      </w:r>
    </w:p>
    <w:p w:rsidR="00BE7563" w:rsidRDefault="00BE7563" w:rsidP="000142B9">
      <w:pPr>
        <w:ind w:left="567" w:hanging="567"/>
        <w:jc w:val="both"/>
        <w:rPr>
          <w:rFonts w:ascii="Gill Sans MT" w:hAnsi="Gill Sans MT"/>
        </w:rPr>
      </w:pPr>
    </w:p>
    <w:p w:rsidR="00BE7563" w:rsidRPr="00BE7563" w:rsidRDefault="00BE5AE2" w:rsidP="000142B9">
      <w:pPr>
        <w:ind w:left="567" w:hanging="567"/>
        <w:jc w:val="both"/>
        <w:rPr>
          <w:rFonts w:ascii="Gill Sans MT" w:hAnsi="Gill Sans MT"/>
          <w:b/>
        </w:rPr>
      </w:pPr>
      <w:r>
        <w:rPr>
          <w:rFonts w:ascii="Gill Sans MT" w:hAnsi="Gill Sans MT"/>
          <w:b/>
        </w:rPr>
        <w:t xml:space="preserve">WHAT THE RPS OF </w:t>
      </w:r>
      <w:r w:rsidR="00BE7563" w:rsidRPr="00BE7563">
        <w:rPr>
          <w:rFonts w:ascii="Gill Sans MT" w:hAnsi="Gill Sans MT"/>
          <w:b/>
        </w:rPr>
        <w:t>TASCAT DOES NOT DO:</w:t>
      </w:r>
    </w:p>
    <w:p w:rsidR="00BE7563" w:rsidRPr="00CC0113" w:rsidRDefault="00BE7563" w:rsidP="000142B9">
      <w:pPr>
        <w:ind w:left="567" w:hanging="567"/>
        <w:jc w:val="both"/>
        <w:rPr>
          <w:rFonts w:ascii="Gill Sans MT" w:hAnsi="Gill Sans MT"/>
        </w:rPr>
      </w:pPr>
    </w:p>
    <w:p w:rsidR="00996493" w:rsidRPr="00CC0113" w:rsidRDefault="00996493" w:rsidP="000142B9">
      <w:pPr>
        <w:pStyle w:val="ListParagraph"/>
        <w:numPr>
          <w:ilvl w:val="1"/>
          <w:numId w:val="1"/>
        </w:numPr>
        <w:ind w:left="567" w:hanging="567"/>
        <w:jc w:val="both"/>
        <w:rPr>
          <w:rFonts w:ascii="Gill Sans MT" w:hAnsi="Gill Sans MT"/>
        </w:rPr>
      </w:pPr>
      <w:r w:rsidRPr="00CC0113">
        <w:rPr>
          <w:rFonts w:ascii="Gill Sans MT" w:hAnsi="Gill Sans MT"/>
        </w:rPr>
        <w:t>The Tribunal is not a political body and we</w:t>
      </w:r>
      <w:r w:rsidR="0070701E">
        <w:rPr>
          <w:rFonts w:ascii="Gill Sans MT" w:hAnsi="Gill Sans MT"/>
        </w:rPr>
        <w:t>ight of numbers of those for or</w:t>
      </w:r>
      <w:r w:rsidRPr="00CC0113">
        <w:rPr>
          <w:rFonts w:ascii="Gill Sans MT" w:hAnsi="Gill Sans MT"/>
        </w:rPr>
        <w:t xml:space="preserve"> against a position</w:t>
      </w:r>
      <w:r w:rsidR="0070701E">
        <w:rPr>
          <w:rFonts w:ascii="Gill Sans MT" w:hAnsi="Gill Sans MT"/>
        </w:rPr>
        <w:t xml:space="preserve"> or issue</w:t>
      </w:r>
      <w:r w:rsidRPr="00CC0113">
        <w:rPr>
          <w:rFonts w:ascii="Gill Sans MT" w:hAnsi="Gill Sans MT"/>
        </w:rPr>
        <w:t xml:space="preserve"> is not a relevant factor.  The Tribunal must not be lobbied which means people should not attempt to priv</w:t>
      </w:r>
      <w:r w:rsidR="0070701E">
        <w:rPr>
          <w:rFonts w:ascii="Gill Sans MT" w:hAnsi="Gill Sans MT"/>
        </w:rPr>
        <w:t xml:space="preserve">ately approach </w:t>
      </w:r>
      <w:r w:rsidR="00BE5AE2">
        <w:rPr>
          <w:rFonts w:ascii="Gill Sans MT" w:hAnsi="Gill Sans MT"/>
        </w:rPr>
        <w:t>the President, Deputy President, Members or staff</w:t>
      </w:r>
      <w:r w:rsidRPr="00CC0113">
        <w:rPr>
          <w:rFonts w:ascii="Gill Sans MT" w:hAnsi="Gill Sans MT"/>
        </w:rPr>
        <w:t xml:space="preserve"> to discuss proceedings at any time.  To do so may constitute an offence.</w:t>
      </w:r>
    </w:p>
    <w:p w:rsidR="00996493" w:rsidRPr="00CC0113" w:rsidRDefault="00996493" w:rsidP="000142B9">
      <w:pPr>
        <w:pStyle w:val="ListParagraph"/>
        <w:ind w:left="567" w:hanging="567"/>
        <w:jc w:val="both"/>
        <w:rPr>
          <w:rFonts w:ascii="Gill Sans MT" w:hAnsi="Gill Sans MT"/>
        </w:rPr>
      </w:pPr>
    </w:p>
    <w:p w:rsidR="00996493" w:rsidRDefault="00996493" w:rsidP="000142B9">
      <w:pPr>
        <w:pStyle w:val="ListParagraph"/>
        <w:numPr>
          <w:ilvl w:val="1"/>
          <w:numId w:val="1"/>
        </w:numPr>
        <w:ind w:left="567" w:hanging="567"/>
        <w:jc w:val="both"/>
        <w:rPr>
          <w:rFonts w:ascii="Gill Sans MT" w:hAnsi="Gill Sans MT"/>
        </w:rPr>
      </w:pPr>
      <w:r w:rsidRPr="00CC0113">
        <w:rPr>
          <w:rFonts w:ascii="Gill Sans MT" w:hAnsi="Gill Sans MT"/>
        </w:rPr>
        <w:t>The RPS Stream is not an investigatory body like Tasmania Police or the Ombudsman.  Lodging proceedings or an application does not require the RPS to investig</w:t>
      </w:r>
      <w:r w:rsidR="003B6E5F">
        <w:rPr>
          <w:rFonts w:ascii="Gill Sans MT" w:hAnsi="Gill Sans MT"/>
        </w:rPr>
        <w:t>ate and take action.  By filing proceedings or becoming a party to proceedings you are expected to take an active role in presenting your case.</w:t>
      </w:r>
    </w:p>
    <w:p w:rsidR="008C27D8" w:rsidRDefault="008C27D8" w:rsidP="008C27D8">
      <w:pPr>
        <w:jc w:val="both"/>
        <w:rPr>
          <w:rFonts w:ascii="Gill Sans MT" w:hAnsi="Gill Sans MT"/>
        </w:rPr>
      </w:pPr>
    </w:p>
    <w:p w:rsidR="005E1AFE" w:rsidRDefault="005E1AFE" w:rsidP="005E1AFE">
      <w:pPr>
        <w:jc w:val="both"/>
        <w:rPr>
          <w:rFonts w:ascii="Gill Sans MT" w:hAnsi="Gill Sans MT"/>
          <w:b/>
        </w:rPr>
      </w:pPr>
      <w:r>
        <w:rPr>
          <w:rFonts w:ascii="Gill Sans MT" w:hAnsi="Gill Sans MT"/>
          <w:b/>
        </w:rPr>
        <w:t>TABULATION OF STANDARD DIRECTIONS:</w:t>
      </w:r>
    </w:p>
    <w:p w:rsidR="005E1AFE" w:rsidRDefault="005E1AFE" w:rsidP="005E1AFE">
      <w:pPr>
        <w:jc w:val="both"/>
        <w:rPr>
          <w:rFonts w:ascii="Gill Sans MT" w:hAnsi="Gill Sans MT"/>
        </w:rPr>
      </w:pPr>
      <w:r>
        <w:rPr>
          <w:rFonts w:ascii="Gill Sans MT" w:hAnsi="Gill Sans MT"/>
        </w:rPr>
        <w:t xml:space="preserve">To assist parties who appear before the Tribunal, the following table provides indicative timeframes of directions that are made in the Resource and Planning Stream.  </w:t>
      </w:r>
    </w:p>
    <w:p w:rsidR="005E1AFE" w:rsidRDefault="005E1AFE" w:rsidP="005E1AFE">
      <w:pPr>
        <w:jc w:val="both"/>
        <w:rPr>
          <w:rFonts w:ascii="Gill Sans MT" w:hAnsi="Gill Sans MT"/>
        </w:rPr>
      </w:pPr>
    </w:p>
    <w:p w:rsidR="005E1AFE" w:rsidRDefault="005E1AFE" w:rsidP="005E1AFE">
      <w:pPr>
        <w:jc w:val="both"/>
        <w:rPr>
          <w:rFonts w:ascii="Gill Sans MT" w:hAnsi="Gill Sans MT"/>
        </w:rPr>
      </w:pPr>
      <w:r>
        <w:rPr>
          <w:rFonts w:ascii="Gill Sans MT" w:hAnsi="Gill Sans MT"/>
        </w:rPr>
        <w:t>Parties should have regard to any specific directions issued in any proceedings, as the Tribunal may vary the timeframes set out below.</w:t>
      </w:r>
    </w:p>
    <w:p w:rsidR="005E1AFE" w:rsidRDefault="005E1AFE" w:rsidP="005E1AFE">
      <w:pPr>
        <w:jc w:val="both"/>
        <w:rPr>
          <w:rFonts w:ascii="Gill Sans MT" w:hAnsi="Gill Sans MT"/>
        </w:rPr>
      </w:pPr>
    </w:p>
    <w:tbl>
      <w:tblPr>
        <w:tblStyle w:val="TableGrid"/>
        <w:tblW w:w="0" w:type="auto"/>
        <w:tblLook w:val="04A0" w:firstRow="1" w:lastRow="0" w:firstColumn="1" w:lastColumn="0" w:noHBand="0" w:noVBand="1"/>
      </w:tblPr>
      <w:tblGrid>
        <w:gridCol w:w="3169"/>
        <w:gridCol w:w="3148"/>
        <w:gridCol w:w="3311"/>
      </w:tblGrid>
      <w:tr w:rsidR="005E1AFE" w:rsidRPr="00640E6F" w:rsidTr="00BC6EEE">
        <w:tc>
          <w:tcPr>
            <w:tcW w:w="4796" w:type="dxa"/>
            <w:shd w:val="clear" w:color="auto" w:fill="EEECE1" w:themeFill="background2"/>
          </w:tcPr>
          <w:p w:rsidR="005E1AFE" w:rsidRPr="00640E6F" w:rsidRDefault="005E1AFE" w:rsidP="00BC6EEE">
            <w:pPr>
              <w:rPr>
                <w:rFonts w:ascii="Gill Sans MT" w:hAnsi="Gill Sans MT"/>
                <w:b/>
                <w:sz w:val="20"/>
                <w:szCs w:val="20"/>
              </w:rPr>
            </w:pPr>
            <w:r w:rsidRPr="00640E6F">
              <w:rPr>
                <w:rFonts w:ascii="Gill Sans MT" w:hAnsi="Gill Sans MT"/>
                <w:b/>
                <w:sz w:val="20"/>
                <w:szCs w:val="20"/>
              </w:rPr>
              <w:t>Timeframe</w:t>
            </w:r>
          </w:p>
        </w:tc>
        <w:tc>
          <w:tcPr>
            <w:tcW w:w="4797" w:type="dxa"/>
            <w:shd w:val="clear" w:color="auto" w:fill="EEECE1" w:themeFill="background2"/>
          </w:tcPr>
          <w:p w:rsidR="005E1AFE" w:rsidRPr="00640E6F" w:rsidRDefault="005E1AFE" w:rsidP="00BC6EEE">
            <w:pPr>
              <w:rPr>
                <w:rFonts w:ascii="Gill Sans MT" w:hAnsi="Gill Sans MT"/>
                <w:b/>
                <w:sz w:val="20"/>
                <w:szCs w:val="20"/>
              </w:rPr>
            </w:pPr>
            <w:r w:rsidRPr="00640E6F">
              <w:rPr>
                <w:rFonts w:ascii="Gill Sans MT" w:hAnsi="Gill Sans MT"/>
                <w:b/>
                <w:sz w:val="20"/>
                <w:szCs w:val="20"/>
              </w:rPr>
              <w:t>Standard Direction</w:t>
            </w:r>
          </w:p>
        </w:tc>
        <w:tc>
          <w:tcPr>
            <w:tcW w:w="4797" w:type="dxa"/>
            <w:shd w:val="clear" w:color="auto" w:fill="EEECE1" w:themeFill="background2"/>
          </w:tcPr>
          <w:p w:rsidR="005E1AFE" w:rsidRPr="00640E6F" w:rsidRDefault="005E1AFE" w:rsidP="00BC6EEE">
            <w:pPr>
              <w:rPr>
                <w:rFonts w:ascii="Gill Sans MT" w:hAnsi="Gill Sans MT"/>
                <w:b/>
                <w:sz w:val="20"/>
                <w:szCs w:val="20"/>
              </w:rPr>
            </w:pPr>
            <w:r w:rsidRPr="00640E6F">
              <w:rPr>
                <w:rFonts w:ascii="Gill Sans MT" w:hAnsi="Gill Sans MT"/>
                <w:b/>
                <w:sz w:val="20"/>
                <w:szCs w:val="20"/>
              </w:rPr>
              <w:t>Notes, Practice Direction reference</w:t>
            </w:r>
          </w:p>
        </w:tc>
      </w:tr>
      <w:tr w:rsidR="005E1AFE" w:rsidRPr="00640E6F" w:rsidTr="00BC6EEE">
        <w:tc>
          <w:tcPr>
            <w:tcW w:w="4796" w:type="dxa"/>
          </w:tcPr>
          <w:p w:rsidR="005E1AFE" w:rsidRPr="00640E6F" w:rsidRDefault="005E1AFE" w:rsidP="00BC6EEE">
            <w:pPr>
              <w:rPr>
                <w:rFonts w:ascii="Gill Sans MT" w:hAnsi="Gill Sans MT"/>
                <w:sz w:val="20"/>
                <w:szCs w:val="20"/>
              </w:rPr>
            </w:pPr>
            <w:r w:rsidRPr="00640E6F">
              <w:rPr>
                <w:rFonts w:ascii="Gill Sans MT" w:hAnsi="Gill Sans MT"/>
                <w:sz w:val="20"/>
                <w:szCs w:val="20"/>
              </w:rPr>
              <w:t>Prior to Preliminary Conference</w:t>
            </w:r>
          </w:p>
        </w:tc>
        <w:tc>
          <w:tcPr>
            <w:tcW w:w="4797" w:type="dxa"/>
            <w:tcMar>
              <w:top w:w="57" w:type="dxa"/>
              <w:bottom w:w="57" w:type="dxa"/>
            </w:tcMar>
          </w:tcPr>
          <w:p w:rsidR="005E1AFE" w:rsidRPr="00640E6F" w:rsidRDefault="005E1AFE" w:rsidP="00BC6EEE">
            <w:pPr>
              <w:rPr>
                <w:rFonts w:ascii="Gill Sans MT" w:hAnsi="Gill Sans MT"/>
                <w:sz w:val="20"/>
                <w:szCs w:val="20"/>
              </w:rPr>
            </w:pPr>
            <w:r w:rsidRPr="00640E6F">
              <w:rPr>
                <w:rFonts w:ascii="Gill Sans MT" w:hAnsi="Gill Sans MT"/>
                <w:sz w:val="20"/>
                <w:szCs w:val="20"/>
              </w:rPr>
              <w:t xml:space="preserve">Provide copy of Council Papers </w:t>
            </w:r>
          </w:p>
        </w:tc>
        <w:tc>
          <w:tcPr>
            <w:tcW w:w="4797" w:type="dxa"/>
            <w:tcMar>
              <w:top w:w="57" w:type="dxa"/>
              <w:bottom w:w="57" w:type="dxa"/>
            </w:tcMar>
          </w:tcPr>
          <w:p w:rsidR="005E1AFE" w:rsidRPr="00640E6F" w:rsidRDefault="005E1AFE" w:rsidP="00BC6EEE">
            <w:pPr>
              <w:rPr>
                <w:rFonts w:ascii="Gill Sans MT" w:hAnsi="Gill Sans MT"/>
                <w:i/>
                <w:sz w:val="20"/>
                <w:szCs w:val="20"/>
              </w:rPr>
            </w:pPr>
            <w:r w:rsidRPr="00640E6F">
              <w:rPr>
                <w:rFonts w:ascii="Gill Sans MT" w:hAnsi="Gill Sans MT"/>
                <w:i/>
                <w:sz w:val="20"/>
                <w:szCs w:val="20"/>
              </w:rPr>
              <w:t xml:space="preserve">Planning Authority only </w:t>
            </w:r>
            <w:r>
              <w:rPr>
                <w:rFonts w:ascii="Gill Sans MT" w:hAnsi="Gill Sans MT"/>
                <w:sz w:val="20"/>
                <w:szCs w:val="20"/>
              </w:rPr>
              <w:br/>
              <w:t>This direction is issued in standard correspondence.  Information to be provided with 7 days of the date of the correspondence.</w:t>
            </w:r>
          </w:p>
        </w:tc>
      </w:tr>
      <w:tr w:rsidR="005E1AFE" w:rsidRPr="00640E6F" w:rsidTr="00BC6EEE">
        <w:tc>
          <w:tcPr>
            <w:tcW w:w="4796" w:type="dxa"/>
          </w:tcPr>
          <w:p w:rsidR="005E1AFE" w:rsidRPr="00640E6F" w:rsidRDefault="005E1AFE" w:rsidP="00BC6EEE">
            <w:pPr>
              <w:rPr>
                <w:rFonts w:ascii="Gill Sans MT" w:hAnsi="Gill Sans MT"/>
                <w:sz w:val="20"/>
                <w:szCs w:val="20"/>
              </w:rPr>
            </w:pPr>
            <w:r w:rsidRPr="00640E6F">
              <w:rPr>
                <w:rFonts w:ascii="Gill Sans MT" w:hAnsi="Gill Sans MT"/>
                <w:sz w:val="20"/>
                <w:szCs w:val="20"/>
              </w:rPr>
              <w:t>Within 7 days of Preliminary Conference</w:t>
            </w:r>
          </w:p>
        </w:tc>
        <w:tc>
          <w:tcPr>
            <w:tcW w:w="4797" w:type="dxa"/>
            <w:tcMar>
              <w:top w:w="57" w:type="dxa"/>
              <w:bottom w:w="57" w:type="dxa"/>
            </w:tcMar>
          </w:tcPr>
          <w:p w:rsidR="005E1AFE" w:rsidRPr="00640E6F" w:rsidRDefault="005E1AFE" w:rsidP="00BC6EEE">
            <w:pPr>
              <w:rPr>
                <w:rFonts w:ascii="Gill Sans MT" w:hAnsi="Gill Sans MT"/>
                <w:sz w:val="20"/>
                <w:szCs w:val="20"/>
              </w:rPr>
            </w:pPr>
            <w:r w:rsidRPr="00640E6F">
              <w:rPr>
                <w:rFonts w:ascii="Gill Sans MT" w:hAnsi="Gill Sans MT"/>
                <w:sz w:val="20"/>
                <w:szCs w:val="20"/>
              </w:rPr>
              <w:t>Provide revised grounds of appeal</w:t>
            </w:r>
          </w:p>
          <w:p w:rsidR="005E1AFE" w:rsidRPr="00640E6F" w:rsidRDefault="005E1AFE" w:rsidP="00BC6EEE">
            <w:pPr>
              <w:rPr>
                <w:rFonts w:ascii="Gill Sans MT" w:hAnsi="Gill Sans MT"/>
                <w:sz w:val="20"/>
                <w:szCs w:val="20"/>
              </w:rPr>
            </w:pPr>
          </w:p>
          <w:p w:rsidR="005E1AFE" w:rsidRPr="00640E6F" w:rsidRDefault="005E1AFE" w:rsidP="00BC6EEE">
            <w:pPr>
              <w:rPr>
                <w:rFonts w:ascii="Gill Sans MT" w:hAnsi="Gill Sans MT"/>
                <w:sz w:val="20"/>
                <w:szCs w:val="20"/>
              </w:rPr>
            </w:pPr>
            <w:r w:rsidRPr="00640E6F">
              <w:rPr>
                <w:rFonts w:ascii="Gill Sans MT" w:hAnsi="Gill Sans MT"/>
                <w:sz w:val="20"/>
                <w:szCs w:val="20"/>
              </w:rPr>
              <w:t>Make any application to enlarge</w:t>
            </w:r>
          </w:p>
          <w:p w:rsidR="005E1AFE" w:rsidRPr="00640E6F" w:rsidRDefault="005E1AFE" w:rsidP="00BC6EEE">
            <w:pPr>
              <w:rPr>
                <w:rFonts w:ascii="Gill Sans MT" w:hAnsi="Gill Sans MT"/>
                <w:sz w:val="20"/>
                <w:szCs w:val="20"/>
              </w:rPr>
            </w:pPr>
          </w:p>
        </w:tc>
        <w:tc>
          <w:tcPr>
            <w:tcW w:w="4797" w:type="dxa"/>
            <w:tcMar>
              <w:top w:w="57" w:type="dxa"/>
              <w:bottom w:w="57" w:type="dxa"/>
            </w:tcMar>
          </w:tcPr>
          <w:p w:rsidR="005E1AFE" w:rsidRPr="00640E6F" w:rsidRDefault="005E1AFE" w:rsidP="00BC6EEE">
            <w:pPr>
              <w:rPr>
                <w:rFonts w:ascii="Gill Sans MT" w:hAnsi="Gill Sans MT"/>
                <w:i/>
                <w:sz w:val="20"/>
                <w:szCs w:val="20"/>
              </w:rPr>
            </w:pPr>
            <w:r w:rsidRPr="00640E6F">
              <w:rPr>
                <w:rFonts w:ascii="Gill Sans MT" w:hAnsi="Gill Sans MT"/>
                <w:i/>
                <w:sz w:val="20"/>
                <w:szCs w:val="20"/>
              </w:rPr>
              <w:t>Appellant only</w:t>
            </w:r>
            <w:r w:rsidRPr="00640E6F">
              <w:rPr>
                <w:rFonts w:ascii="Gill Sans MT" w:hAnsi="Gill Sans MT"/>
                <w:sz w:val="20"/>
                <w:szCs w:val="20"/>
              </w:rPr>
              <w:t xml:space="preserve"> see P</w:t>
            </w:r>
            <w:r w:rsidR="00207664">
              <w:rPr>
                <w:rFonts w:ascii="Gill Sans MT" w:hAnsi="Gill Sans MT"/>
                <w:sz w:val="20"/>
                <w:szCs w:val="20"/>
              </w:rPr>
              <w:t>ractice Direction 1 at</w:t>
            </w:r>
            <w:r w:rsidRPr="00640E6F">
              <w:rPr>
                <w:rFonts w:ascii="Gill Sans MT" w:hAnsi="Gill Sans MT"/>
                <w:sz w:val="20"/>
                <w:szCs w:val="20"/>
              </w:rPr>
              <w:t xml:space="preserve"> 1.9 -1.11</w:t>
            </w:r>
          </w:p>
          <w:p w:rsidR="005E1AFE" w:rsidRPr="00640E6F" w:rsidRDefault="005E1AFE" w:rsidP="00BC6EEE">
            <w:pPr>
              <w:rPr>
                <w:rFonts w:ascii="Gill Sans MT" w:hAnsi="Gill Sans MT"/>
                <w:i/>
                <w:sz w:val="20"/>
                <w:szCs w:val="20"/>
              </w:rPr>
            </w:pPr>
          </w:p>
          <w:p w:rsidR="005E1AFE" w:rsidRPr="00640E6F" w:rsidRDefault="005E1AFE" w:rsidP="00BC6EEE">
            <w:pPr>
              <w:rPr>
                <w:rFonts w:ascii="Gill Sans MT" w:hAnsi="Gill Sans MT"/>
                <w:i/>
                <w:sz w:val="20"/>
                <w:szCs w:val="20"/>
              </w:rPr>
            </w:pPr>
            <w:r w:rsidRPr="00640E6F">
              <w:rPr>
                <w:rFonts w:ascii="Gill Sans MT" w:hAnsi="Gill Sans MT"/>
                <w:i/>
                <w:sz w:val="20"/>
                <w:szCs w:val="20"/>
              </w:rPr>
              <w:t>Joined parties only</w:t>
            </w:r>
            <w:r w:rsidR="00207664">
              <w:rPr>
                <w:rFonts w:ascii="Gill Sans MT" w:hAnsi="Gill Sans MT"/>
                <w:sz w:val="20"/>
                <w:szCs w:val="20"/>
              </w:rPr>
              <w:t xml:space="preserve"> see Practice Direction 2 to </w:t>
            </w:r>
            <w:r>
              <w:rPr>
                <w:rFonts w:ascii="Gill Sans MT" w:hAnsi="Gill Sans MT"/>
                <w:sz w:val="20"/>
                <w:szCs w:val="20"/>
              </w:rPr>
              <w:t>2.9-2.10</w:t>
            </w:r>
          </w:p>
        </w:tc>
      </w:tr>
      <w:tr w:rsidR="005E1AFE" w:rsidRPr="00640E6F" w:rsidTr="00BC6EEE">
        <w:tc>
          <w:tcPr>
            <w:tcW w:w="4796" w:type="dxa"/>
          </w:tcPr>
          <w:p w:rsidR="005E1AFE" w:rsidRPr="00640E6F" w:rsidRDefault="005E1AFE" w:rsidP="00BC6EEE">
            <w:pPr>
              <w:rPr>
                <w:rFonts w:ascii="Gill Sans MT" w:hAnsi="Gill Sans MT"/>
                <w:sz w:val="20"/>
                <w:szCs w:val="20"/>
              </w:rPr>
            </w:pPr>
            <w:r w:rsidRPr="00640E6F">
              <w:rPr>
                <w:rFonts w:ascii="Gill Sans MT" w:hAnsi="Gill Sans MT"/>
                <w:sz w:val="20"/>
                <w:szCs w:val="20"/>
              </w:rPr>
              <w:t>Within 10 days of confirmation that matter proceeding to hearing</w:t>
            </w:r>
          </w:p>
        </w:tc>
        <w:tc>
          <w:tcPr>
            <w:tcW w:w="4797" w:type="dxa"/>
            <w:tcMar>
              <w:top w:w="57" w:type="dxa"/>
              <w:bottom w:w="57" w:type="dxa"/>
            </w:tcMar>
          </w:tcPr>
          <w:p w:rsidR="005E1AFE" w:rsidRPr="00640E6F" w:rsidRDefault="005E1AFE" w:rsidP="00BC6EEE">
            <w:pPr>
              <w:rPr>
                <w:rFonts w:ascii="Gill Sans MT" w:hAnsi="Gill Sans MT"/>
                <w:sz w:val="20"/>
                <w:szCs w:val="20"/>
              </w:rPr>
            </w:pPr>
            <w:r w:rsidRPr="00640E6F">
              <w:rPr>
                <w:rFonts w:ascii="Gill Sans MT" w:hAnsi="Gill Sans MT"/>
                <w:sz w:val="20"/>
                <w:szCs w:val="20"/>
              </w:rPr>
              <w:t>Provide Statement of Facts &amp; Contentions</w:t>
            </w:r>
          </w:p>
        </w:tc>
        <w:tc>
          <w:tcPr>
            <w:tcW w:w="4797" w:type="dxa"/>
            <w:tcMar>
              <w:top w:w="57" w:type="dxa"/>
              <w:bottom w:w="57" w:type="dxa"/>
            </w:tcMar>
          </w:tcPr>
          <w:p w:rsidR="005E1AFE" w:rsidRPr="00640E6F" w:rsidRDefault="00207664" w:rsidP="00BC6EEE">
            <w:pPr>
              <w:rPr>
                <w:rFonts w:ascii="Gill Sans MT" w:hAnsi="Gill Sans MT"/>
                <w:sz w:val="20"/>
                <w:szCs w:val="20"/>
              </w:rPr>
            </w:pPr>
            <w:r>
              <w:rPr>
                <w:rFonts w:ascii="Gill Sans MT" w:hAnsi="Gill Sans MT"/>
                <w:sz w:val="20"/>
                <w:szCs w:val="20"/>
              </w:rPr>
              <w:t>See Practice Direction 4 at</w:t>
            </w:r>
            <w:r w:rsidR="005E1AFE" w:rsidRPr="00640E6F">
              <w:rPr>
                <w:rFonts w:ascii="Gill Sans MT" w:hAnsi="Gill Sans MT"/>
                <w:sz w:val="20"/>
                <w:szCs w:val="20"/>
              </w:rPr>
              <w:t xml:space="preserve"> 4.3</w:t>
            </w:r>
          </w:p>
        </w:tc>
      </w:tr>
      <w:tr w:rsidR="005E1AFE" w:rsidRPr="00640E6F" w:rsidTr="00BC6EEE">
        <w:tc>
          <w:tcPr>
            <w:tcW w:w="4796" w:type="dxa"/>
          </w:tcPr>
          <w:p w:rsidR="005E1AFE" w:rsidRPr="00640E6F" w:rsidRDefault="005E1AFE" w:rsidP="00BC6EEE">
            <w:pPr>
              <w:rPr>
                <w:rFonts w:ascii="Gill Sans MT" w:hAnsi="Gill Sans MT"/>
                <w:sz w:val="20"/>
                <w:szCs w:val="20"/>
              </w:rPr>
            </w:pPr>
            <w:r w:rsidRPr="00640E6F">
              <w:rPr>
                <w:rFonts w:ascii="Gill Sans MT" w:hAnsi="Gill Sans MT"/>
                <w:sz w:val="20"/>
                <w:szCs w:val="20"/>
              </w:rPr>
              <w:t>Within 21 days of first listed hearing date</w:t>
            </w:r>
          </w:p>
        </w:tc>
        <w:tc>
          <w:tcPr>
            <w:tcW w:w="4797" w:type="dxa"/>
            <w:tcMar>
              <w:top w:w="57" w:type="dxa"/>
              <w:bottom w:w="57" w:type="dxa"/>
            </w:tcMar>
          </w:tcPr>
          <w:p w:rsidR="005E1AFE" w:rsidRPr="00640E6F" w:rsidRDefault="005E1AFE" w:rsidP="00BC6EEE">
            <w:pPr>
              <w:rPr>
                <w:rFonts w:ascii="Gill Sans MT" w:hAnsi="Gill Sans MT"/>
                <w:sz w:val="20"/>
                <w:szCs w:val="20"/>
              </w:rPr>
            </w:pPr>
            <w:r w:rsidRPr="00640E6F">
              <w:rPr>
                <w:rFonts w:ascii="Gill Sans MT" w:hAnsi="Gill Sans MT"/>
                <w:sz w:val="20"/>
                <w:szCs w:val="20"/>
              </w:rPr>
              <w:t>Provide Statements of Evidence</w:t>
            </w:r>
          </w:p>
        </w:tc>
        <w:tc>
          <w:tcPr>
            <w:tcW w:w="4797" w:type="dxa"/>
            <w:tcMar>
              <w:top w:w="57" w:type="dxa"/>
              <w:bottom w:w="57" w:type="dxa"/>
            </w:tcMar>
          </w:tcPr>
          <w:p w:rsidR="005E1AFE" w:rsidRPr="00640E6F" w:rsidRDefault="00207664" w:rsidP="00BC6EEE">
            <w:pPr>
              <w:rPr>
                <w:rFonts w:ascii="Gill Sans MT" w:hAnsi="Gill Sans MT"/>
                <w:sz w:val="20"/>
                <w:szCs w:val="20"/>
              </w:rPr>
            </w:pPr>
            <w:r>
              <w:rPr>
                <w:rFonts w:ascii="Gill Sans MT" w:hAnsi="Gill Sans MT"/>
                <w:sz w:val="20"/>
                <w:szCs w:val="20"/>
              </w:rPr>
              <w:t>See Practice Direction 4 at</w:t>
            </w:r>
            <w:r w:rsidR="005E1AFE">
              <w:rPr>
                <w:rFonts w:ascii="Gill Sans MT" w:hAnsi="Gill Sans MT"/>
                <w:sz w:val="20"/>
                <w:szCs w:val="20"/>
              </w:rPr>
              <w:t xml:space="preserve"> 4.4</w:t>
            </w:r>
          </w:p>
        </w:tc>
      </w:tr>
      <w:tr w:rsidR="005E1AFE" w:rsidRPr="00640E6F" w:rsidTr="00BC6EEE">
        <w:tc>
          <w:tcPr>
            <w:tcW w:w="4796" w:type="dxa"/>
          </w:tcPr>
          <w:p w:rsidR="005E1AFE" w:rsidRPr="00640E6F" w:rsidRDefault="005E1AFE" w:rsidP="00BC6EEE">
            <w:pPr>
              <w:rPr>
                <w:rFonts w:ascii="Gill Sans MT" w:hAnsi="Gill Sans MT"/>
                <w:sz w:val="20"/>
                <w:szCs w:val="20"/>
              </w:rPr>
            </w:pPr>
            <w:r w:rsidRPr="00640E6F">
              <w:rPr>
                <w:rFonts w:ascii="Gill Sans MT" w:hAnsi="Gill Sans MT"/>
                <w:sz w:val="20"/>
                <w:szCs w:val="20"/>
              </w:rPr>
              <w:t>Within 7 Days of first listed hearing date</w:t>
            </w:r>
          </w:p>
        </w:tc>
        <w:tc>
          <w:tcPr>
            <w:tcW w:w="4797" w:type="dxa"/>
            <w:tcMar>
              <w:top w:w="57" w:type="dxa"/>
              <w:bottom w:w="57" w:type="dxa"/>
            </w:tcMar>
          </w:tcPr>
          <w:p w:rsidR="005E1AFE" w:rsidRPr="00640E6F" w:rsidRDefault="005E1AFE" w:rsidP="00BC6EEE">
            <w:pPr>
              <w:rPr>
                <w:rFonts w:ascii="Gill Sans MT" w:hAnsi="Gill Sans MT"/>
                <w:sz w:val="20"/>
                <w:szCs w:val="20"/>
              </w:rPr>
            </w:pPr>
            <w:r w:rsidRPr="00640E6F">
              <w:rPr>
                <w:rFonts w:ascii="Gill Sans MT" w:hAnsi="Gill Sans MT"/>
                <w:sz w:val="20"/>
                <w:szCs w:val="20"/>
              </w:rPr>
              <w:t>Provide Statements of Response Evidence</w:t>
            </w:r>
          </w:p>
          <w:p w:rsidR="005E1AFE" w:rsidRPr="00640E6F" w:rsidRDefault="005E1AFE" w:rsidP="00BC6EEE">
            <w:pPr>
              <w:rPr>
                <w:rFonts w:ascii="Gill Sans MT" w:hAnsi="Gill Sans MT"/>
                <w:sz w:val="20"/>
                <w:szCs w:val="20"/>
              </w:rPr>
            </w:pPr>
          </w:p>
          <w:p w:rsidR="005E1AFE" w:rsidRPr="00640E6F" w:rsidRDefault="005E1AFE" w:rsidP="00BC6EEE">
            <w:pPr>
              <w:rPr>
                <w:rFonts w:ascii="Gill Sans MT" w:hAnsi="Gill Sans MT"/>
                <w:sz w:val="20"/>
                <w:szCs w:val="20"/>
              </w:rPr>
            </w:pPr>
            <w:r w:rsidRPr="00640E6F">
              <w:rPr>
                <w:rFonts w:ascii="Gill Sans MT" w:hAnsi="Gill Sans MT"/>
                <w:sz w:val="20"/>
                <w:szCs w:val="20"/>
              </w:rPr>
              <w:t>Provide Joint Statement of Agreed Facts</w:t>
            </w:r>
          </w:p>
          <w:p w:rsidR="005E1AFE" w:rsidRPr="00640E6F" w:rsidRDefault="005E1AFE" w:rsidP="00BC6EEE">
            <w:pPr>
              <w:rPr>
                <w:rFonts w:ascii="Gill Sans MT" w:hAnsi="Gill Sans MT"/>
                <w:sz w:val="20"/>
                <w:szCs w:val="20"/>
              </w:rPr>
            </w:pPr>
          </w:p>
          <w:p w:rsidR="005E1AFE" w:rsidRPr="00640E6F" w:rsidRDefault="005E1AFE" w:rsidP="00BC6EEE">
            <w:pPr>
              <w:rPr>
                <w:rFonts w:ascii="Gill Sans MT" w:hAnsi="Gill Sans MT"/>
                <w:sz w:val="20"/>
                <w:szCs w:val="20"/>
              </w:rPr>
            </w:pPr>
            <w:r w:rsidRPr="00640E6F">
              <w:rPr>
                <w:rFonts w:ascii="Gill Sans MT" w:hAnsi="Gill Sans MT"/>
                <w:sz w:val="20"/>
                <w:szCs w:val="20"/>
              </w:rPr>
              <w:t xml:space="preserve">Provide Draft Conditions </w:t>
            </w:r>
          </w:p>
          <w:p w:rsidR="005E1AFE" w:rsidRPr="00640E6F" w:rsidRDefault="005E1AFE" w:rsidP="00BC6EEE">
            <w:pPr>
              <w:rPr>
                <w:rFonts w:ascii="Gill Sans MT" w:hAnsi="Gill Sans MT"/>
                <w:sz w:val="20"/>
                <w:szCs w:val="20"/>
              </w:rPr>
            </w:pPr>
          </w:p>
          <w:p w:rsidR="005E1AFE" w:rsidRPr="00640E6F" w:rsidRDefault="005E1AFE" w:rsidP="00BC6EEE">
            <w:pPr>
              <w:rPr>
                <w:rFonts w:ascii="Gill Sans MT" w:hAnsi="Gill Sans MT"/>
                <w:sz w:val="20"/>
                <w:szCs w:val="20"/>
              </w:rPr>
            </w:pPr>
            <w:r w:rsidRPr="00640E6F">
              <w:rPr>
                <w:rFonts w:ascii="Gill Sans MT" w:hAnsi="Gill Sans MT"/>
                <w:sz w:val="20"/>
                <w:szCs w:val="20"/>
              </w:rPr>
              <w:t>Make any application for site inspection</w:t>
            </w:r>
          </w:p>
          <w:p w:rsidR="005E1AFE" w:rsidRPr="00640E6F" w:rsidRDefault="005E1AFE" w:rsidP="00BC6EEE">
            <w:pPr>
              <w:rPr>
                <w:rFonts w:ascii="Gill Sans MT" w:hAnsi="Gill Sans MT"/>
                <w:sz w:val="20"/>
                <w:szCs w:val="20"/>
              </w:rPr>
            </w:pPr>
          </w:p>
        </w:tc>
        <w:tc>
          <w:tcPr>
            <w:tcW w:w="4797" w:type="dxa"/>
            <w:tcMar>
              <w:top w:w="57" w:type="dxa"/>
              <w:bottom w:w="57" w:type="dxa"/>
            </w:tcMar>
          </w:tcPr>
          <w:p w:rsidR="005E1AFE" w:rsidRPr="00640E6F" w:rsidRDefault="00207664" w:rsidP="00BC6EEE">
            <w:pPr>
              <w:rPr>
                <w:rFonts w:ascii="Gill Sans MT" w:hAnsi="Gill Sans MT"/>
                <w:sz w:val="20"/>
                <w:szCs w:val="20"/>
              </w:rPr>
            </w:pPr>
            <w:r>
              <w:rPr>
                <w:rFonts w:ascii="Gill Sans MT" w:hAnsi="Gill Sans MT"/>
                <w:sz w:val="20"/>
                <w:szCs w:val="20"/>
              </w:rPr>
              <w:lastRenderedPageBreak/>
              <w:t>See Practice Direction 4 at</w:t>
            </w:r>
            <w:r w:rsidR="005E1AFE">
              <w:rPr>
                <w:rFonts w:ascii="Gill Sans MT" w:hAnsi="Gill Sans MT"/>
                <w:sz w:val="20"/>
                <w:szCs w:val="20"/>
              </w:rPr>
              <w:t xml:space="preserve"> 4.4</w:t>
            </w:r>
          </w:p>
          <w:p w:rsidR="005E1AFE" w:rsidRPr="00640E6F" w:rsidRDefault="005E1AFE" w:rsidP="00BC6EEE">
            <w:pPr>
              <w:rPr>
                <w:rFonts w:ascii="Gill Sans MT" w:hAnsi="Gill Sans MT"/>
                <w:sz w:val="20"/>
                <w:szCs w:val="20"/>
              </w:rPr>
            </w:pPr>
          </w:p>
          <w:p w:rsidR="005E1AFE" w:rsidRPr="00640E6F" w:rsidRDefault="00207664" w:rsidP="00BC6EEE">
            <w:pPr>
              <w:rPr>
                <w:rFonts w:ascii="Gill Sans MT" w:hAnsi="Gill Sans MT"/>
                <w:sz w:val="20"/>
                <w:szCs w:val="20"/>
              </w:rPr>
            </w:pPr>
            <w:r>
              <w:rPr>
                <w:rFonts w:ascii="Gill Sans MT" w:hAnsi="Gill Sans MT"/>
                <w:sz w:val="20"/>
                <w:szCs w:val="20"/>
              </w:rPr>
              <w:t>See Practice Direction 4 at</w:t>
            </w:r>
            <w:r w:rsidRPr="00640E6F">
              <w:rPr>
                <w:rFonts w:ascii="Gill Sans MT" w:hAnsi="Gill Sans MT"/>
                <w:sz w:val="20"/>
                <w:szCs w:val="20"/>
              </w:rPr>
              <w:t xml:space="preserve"> </w:t>
            </w:r>
            <w:r>
              <w:rPr>
                <w:rFonts w:ascii="Gill Sans MT" w:hAnsi="Gill Sans MT"/>
                <w:sz w:val="20"/>
                <w:szCs w:val="20"/>
              </w:rPr>
              <w:t xml:space="preserve">4.6 and </w:t>
            </w:r>
            <w:r w:rsidR="005E1AFE" w:rsidRPr="00640E6F">
              <w:rPr>
                <w:rFonts w:ascii="Gill Sans MT" w:hAnsi="Gill Sans MT"/>
                <w:sz w:val="20"/>
                <w:szCs w:val="20"/>
              </w:rPr>
              <w:t>4.20-4.22</w:t>
            </w:r>
          </w:p>
          <w:p w:rsidR="005E1AFE" w:rsidRPr="00640E6F" w:rsidRDefault="005E1AFE" w:rsidP="00BC6EEE">
            <w:pPr>
              <w:rPr>
                <w:rFonts w:ascii="Gill Sans MT" w:hAnsi="Gill Sans MT"/>
                <w:sz w:val="20"/>
                <w:szCs w:val="20"/>
              </w:rPr>
            </w:pPr>
          </w:p>
          <w:p w:rsidR="005E1AFE" w:rsidRPr="00640E6F" w:rsidRDefault="00207664" w:rsidP="00BC6EEE">
            <w:pPr>
              <w:rPr>
                <w:rFonts w:ascii="Gill Sans MT" w:hAnsi="Gill Sans MT"/>
                <w:sz w:val="20"/>
                <w:szCs w:val="20"/>
              </w:rPr>
            </w:pPr>
            <w:r>
              <w:rPr>
                <w:rFonts w:ascii="Gill Sans MT" w:hAnsi="Gill Sans MT"/>
                <w:sz w:val="20"/>
                <w:szCs w:val="20"/>
              </w:rPr>
              <w:lastRenderedPageBreak/>
              <w:t>See Practice Direction 4 at</w:t>
            </w:r>
            <w:r w:rsidR="005E1AFE" w:rsidRPr="00640E6F">
              <w:rPr>
                <w:rFonts w:ascii="Gill Sans MT" w:hAnsi="Gill Sans MT"/>
                <w:sz w:val="20"/>
                <w:szCs w:val="20"/>
              </w:rPr>
              <w:t xml:space="preserve"> 4.5</w:t>
            </w:r>
          </w:p>
          <w:p w:rsidR="005E1AFE" w:rsidRPr="00640E6F" w:rsidRDefault="005E1AFE" w:rsidP="00BC6EEE">
            <w:pPr>
              <w:rPr>
                <w:rFonts w:ascii="Gill Sans MT" w:hAnsi="Gill Sans MT"/>
                <w:sz w:val="20"/>
                <w:szCs w:val="20"/>
              </w:rPr>
            </w:pPr>
          </w:p>
          <w:p w:rsidR="005E1AFE" w:rsidRPr="00640E6F" w:rsidRDefault="00207664" w:rsidP="00BC6EEE">
            <w:pPr>
              <w:rPr>
                <w:rFonts w:ascii="Gill Sans MT" w:hAnsi="Gill Sans MT"/>
                <w:sz w:val="20"/>
                <w:szCs w:val="20"/>
              </w:rPr>
            </w:pPr>
            <w:r>
              <w:rPr>
                <w:rFonts w:ascii="Gill Sans MT" w:hAnsi="Gill Sans MT"/>
                <w:sz w:val="20"/>
                <w:szCs w:val="20"/>
              </w:rPr>
              <w:t>See Practice Direction 4 at</w:t>
            </w:r>
            <w:r w:rsidR="005E1AFE" w:rsidRPr="00640E6F">
              <w:rPr>
                <w:rFonts w:ascii="Gill Sans MT" w:hAnsi="Gill Sans MT"/>
                <w:sz w:val="20"/>
                <w:szCs w:val="20"/>
              </w:rPr>
              <w:t xml:space="preserve"> 4.12</w:t>
            </w:r>
          </w:p>
        </w:tc>
      </w:tr>
      <w:tr w:rsidR="005E1AFE" w:rsidRPr="00640E6F" w:rsidTr="00BC6EEE">
        <w:tc>
          <w:tcPr>
            <w:tcW w:w="4796" w:type="dxa"/>
          </w:tcPr>
          <w:p w:rsidR="005E1AFE" w:rsidRPr="00640E6F" w:rsidRDefault="005E1AFE" w:rsidP="00BC6EEE">
            <w:pPr>
              <w:rPr>
                <w:rFonts w:ascii="Gill Sans MT" w:hAnsi="Gill Sans MT"/>
                <w:sz w:val="20"/>
                <w:szCs w:val="20"/>
              </w:rPr>
            </w:pPr>
            <w:r w:rsidRPr="00640E6F">
              <w:rPr>
                <w:rFonts w:ascii="Gill Sans MT" w:hAnsi="Gill Sans MT"/>
                <w:sz w:val="20"/>
                <w:szCs w:val="20"/>
              </w:rPr>
              <w:lastRenderedPageBreak/>
              <w:t>Within 3 days of first listed hearing date</w:t>
            </w:r>
          </w:p>
        </w:tc>
        <w:tc>
          <w:tcPr>
            <w:tcW w:w="4797" w:type="dxa"/>
            <w:tcMar>
              <w:top w:w="57" w:type="dxa"/>
              <w:bottom w:w="57" w:type="dxa"/>
            </w:tcMar>
          </w:tcPr>
          <w:p w:rsidR="005E1AFE" w:rsidRPr="00640E6F" w:rsidRDefault="005E1AFE" w:rsidP="00BC6EEE">
            <w:pPr>
              <w:rPr>
                <w:rFonts w:ascii="Gill Sans MT" w:hAnsi="Gill Sans MT"/>
                <w:sz w:val="20"/>
                <w:szCs w:val="20"/>
              </w:rPr>
            </w:pPr>
            <w:r w:rsidRPr="00640E6F">
              <w:rPr>
                <w:rFonts w:ascii="Gill Sans MT" w:hAnsi="Gill Sans MT"/>
                <w:sz w:val="20"/>
                <w:szCs w:val="20"/>
              </w:rPr>
              <w:t>Advise whether party seeks to cross-examine any witness</w:t>
            </w:r>
          </w:p>
        </w:tc>
        <w:tc>
          <w:tcPr>
            <w:tcW w:w="4797" w:type="dxa"/>
            <w:tcMar>
              <w:top w:w="57" w:type="dxa"/>
              <w:bottom w:w="57" w:type="dxa"/>
            </w:tcMar>
          </w:tcPr>
          <w:p w:rsidR="005E1AFE" w:rsidRPr="00640E6F" w:rsidRDefault="00207664" w:rsidP="00BC6EEE">
            <w:pPr>
              <w:rPr>
                <w:rFonts w:ascii="Gill Sans MT" w:hAnsi="Gill Sans MT"/>
                <w:sz w:val="20"/>
                <w:szCs w:val="20"/>
              </w:rPr>
            </w:pPr>
            <w:r>
              <w:rPr>
                <w:rFonts w:ascii="Gill Sans MT" w:hAnsi="Gill Sans MT"/>
                <w:sz w:val="20"/>
                <w:szCs w:val="20"/>
              </w:rPr>
              <w:t>See Practice Direction 4 at</w:t>
            </w:r>
            <w:r w:rsidR="005E1AFE" w:rsidRPr="00640E6F">
              <w:rPr>
                <w:rFonts w:ascii="Gill Sans MT" w:hAnsi="Gill Sans MT"/>
                <w:sz w:val="20"/>
                <w:szCs w:val="20"/>
              </w:rPr>
              <w:t xml:space="preserve"> 4.7-4.9</w:t>
            </w:r>
          </w:p>
        </w:tc>
      </w:tr>
      <w:tr w:rsidR="005E1AFE" w:rsidRPr="00640E6F" w:rsidTr="00BC6EEE">
        <w:tc>
          <w:tcPr>
            <w:tcW w:w="4796" w:type="dxa"/>
          </w:tcPr>
          <w:p w:rsidR="005E1AFE" w:rsidRPr="00640E6F" w:rsidRDefault="005E1AFE" w:rsidP="00BC6EEE">
            <w:pPr>
              <w:rPr>
                <w:rFonts w:ascii="Gill Sans MT" w:hAnsi="Gill Sans MT"/>
                <w:sz w:val="20"/>
                <w:szCs w:val="20"/>
              </w:rPr>
            </w:pPr>
            <w:r w:rsidRPr="00640E6F">
              <w:rPr>
                <w:rFonts w:ascii="Gill Sans MT" w:hAnsi="Gill Sans MT"/>
                <w:sz w:val="20"/>
                <w:szCs w:val="20"/>
              </w:rPr>
              <w:t>Within 48 hours of first listed hearing date</w:t>
            </w:r>
          </w:p>
        </w:tc>
        <w:tc>
          <w:tcPr>
            <w:tcW w:w="4797" w:type="dxa"/>
            <w:tcMar>
              <w:top w:w="57" w:type="dxa"/>
              <w:bottom w:w="57" w:type="dxa"/>
            </w:tcMar>
          </w:tcPr>
          <w:p w:rsidR="005E1AFE" w:rsidRPr="00640E6F" w:rsidRDefault="005E1AFE" w:rsidP="00BC6EEE">
            <w:pPr>
              <w:rPr>
                <w:rFonts w:ascii="Gill Sans MT" w:hAnsi="Gill Sans MT"/>
                <w:sz w:val="20"/>
                <w:szCs w:val="20"/>
              </w:rPr>
            </w:pPr>
            <w:r w:rsidRPr="00640E6F">
              <w:rPr>
                <w:rFonts w:ascii="Gill Sans MT" w:hAnsi="Gill Sans MT"/>
                <w:sz w:val="20"/>
                <w:szCs w:val="20"/>
              </w:rPr>
              <w:t>Provide copies of any legal authorities to be relied upon at hearing</w:t>
            </w:r>
          </w:p>
        </w:tc>
        <w:tc>
          <w:tcPr>
            <w:tcW w:w="4797" w:type="dxa"/>
            <w:tcMar>
              <w:top w:w="57" w:type="dxa"/>
              <w:bottom w:w="57" w:type="dxa"/>
            </w:tcMar>
          </w:tcPr>
          <w:p w:rsidR="005E1AFE" w:rsidRPr="00640E6F" w:rsidRDefault="00207664" w:rsidP="00BC6EEE">
            <w:pPr>
              <w:rPr>
                <w:rFonts w:ascii="Gill Sans MT" w:hAnsi="Gill Sans MT"/>
                <w:sz w:val="20"/>
                <w:szCs w:val="20"/>
              </w:rPr>
            </w:pPr>
            <w:r>
              <w:rPr>
                <w:rFonts w:ascii="Gill Sans MT" w:hAnsi="Gill Sans MT"/>
                <w:sz w:val="20"/>
                <w:szCs w:val="20"/>
              </w:rPr>
              <w:t>See Practice Direction 4 at</w:t>
            </w:r>
            <w:r w:rsidR="005E1AFE" w:rsidRPr="00640E6F">
              <w:rPr>
                <w:rFonts w:ascii="Gill Sans MT" w:hAnsi="Gill Sans MT"/>
                <w:sz w:val="20"/>
                <w:szCs w:val="20"/>
              </w:rPr>
              <w:t xml:space="preserve"> 4.11</w:t>
            </w:r>
          </w:p>
        </w:tc>
      </w:tr>
      <w:tr w:rsidR="005E1AFE" w:rsidRPr="00640E6F" w:rsidTr="00BC6EEE">
        <w:tc>
          <w:tcPr>
            <w:tcW w:w="4796" w:type="dxa"/>
          </w:tcPr>
          <w:p w:rsidR="005E1AFE" w:rsidRPr="00640E6F" w:rsidRDefault="005E1AFE" w:rsidP="00BC6EEE">
            <w:pPr>
              <w:rPr>
                <w:rFonts w:ascii="Gill Sans MT" w:hAnsi="Gill Sans MT"/>
                <w:sz w:val="20"/>
                <w:szCs w:val="20"/>
              </w:rPr>
            </w:pPr>
            <w:r w:rsidRPr="00640E6F">
              <w:rPr>
                <w:rFonts w:ascii="Gill Sans MT" w:hAnsi="Gill Sans MT"/>
                <w:sz w:val="20"/>
                <w:szCs w:val="20"/>
              </w:rPr>
              <w:t>By close of business on day hearing concludes</w:t>
            </w:r>
          </w:p>
        </w:tc>
        <w:tc>
          <w:tcPr>
            <w:tcW w:w="4797" w:type="dxa"/>
            <w:tcMar>
              <w:top w:w="57" w:type="dxa"/>
              <w:bottom w:w="57" w:type="dxa"/>
            </w:tcMar>
          </w:tcPr>
          <w:p w:rsidR="005E1AFE" w:rsidRPr="00640E6F" w:rsidRDefault="005E1AFE" w:rsidP="00BC6EEE">
            <w:pPr>
              <w:rPr>
                <w:rFonts w:ascii="Gill Sans MT" w:hAnsi="Gill Sans MT"/>
                <w:sz w:val="20"/>
                <w:szCs w:val="20"/>
              </w:rPr>
            </w:pPr>
            <w:r w:rsidRPr="00640E6F">
              <w:rPr>
                <w:rFonts w:ascii="Gill Sans MT" w:hAnsi="Gill Sans MT"/>
                <w:sz w:val="20"/>
                <w:szCs w:val="20"/>
              </w:rPr>
              <w:t>Provide written summary of final submissions</w:t>
            </w:r>
          </w:p>
        </w:tc>
        <w:tc>
          <w:tcPr>
            <w:tcW w:w="4797" w:type="dxa"/>
            <w:tcMar>
              <w:top w:w="57" w:type="dxa"/>
              <w:bottom w:w="57" w:type="dxa"/>
            </w:tcMar>
          </w:tcPr>
          <w:p w:rsidR="005E1AFE" w:rsidRPr="00640E6F" w:rsidRDefault="00207664" w:rsidP="00BC6EEE">
            <w:pPr>
              <w:rPr>
                <w:rFonts w:ascii="Gill Sans MT" w:hAnsi="Gill Sans MT"/>
                <w:sz w:val="20"/>
                <w:szCs w:val="20"/>
              </w:rPr>
            </w:pPr>
            <w:r>
              <w:rPr>
                <w:rFonts w:ascii="Gill Sans MT" w:hAnsi="Gill Sans MT"/>
                <w:sz w:val="20"/>
                <w:szCs w:val="20"/>
              </w:rPr>
              <w:t>See Practice Direction 4 at</w:t>
            </w:r>
            <w:r w:rsidR="005E1AFE">
              <w:rPr>
                <w:rFonts w:ascii="Gill Sans MT" w:hAnsi="Gill Sans MT"/>
                <w:sz w:val="20"/>
                <w:szCs w:val="20"/>
              </w:rPr>
              <w:t xml:space="preserve"> 4.10</w:t>
            </w:r>
          </w:p>
        </w:tc>
      </w:tr>
    </w:tbl>
    <w:p w:rsidR="005E1AFE" w:rsidRPr="00640E6F" w:rsidRDefault="005E1AFE" w:rsidP="005E1AFE">
      <w:pPr>
        <w:jc w:val="both"/>
        <w:rPr>
          <w:rFonts w:ascii="Gill Sans MT" w:hAnsi="Gill Sans MT"/>
          <w:sz w:val="20"/>
          <w:szCs w:val="20"/>
        </w:rPr>
      </w:pPr>
    </w:p>
    <w:p w:rsidR="005E1AFE" w:rsidRPr="00681010" w:rsidRDefault="005E1AFE" w:rsidP="005E1AFE">
      <w:pPr>
        <w:jc w:val="both"/>
        <w:rPr>
          <w:rFonts w:ascii="Gill Sans MT" w:hAnsi="Gill Sans MT"/>
          <w:b/>
        </w:rPr>
      </w:pPr>
      <w:r w:rsidRPr="00681010">
        <w:rPr>
          <w:rFonts w:ascii="Gill Sans MT" w:hAnsi="Gill Sans MT"/>
          <w:b/>
        </w:rPr>
        <w:t>TRANSITION INFORMATION:</w:t>
      </w:r>
    </w:p>
    <w:p w:rsidR="005E1AFE" w:rsidRDefault="005E1AFE" w:rsidP="005E1AFE">
      <w:pPr>
        <w:jc w:val="both"/>
        <w:rPr>
          <w:rFonts w:ascii="Gill Sans MT" w:hAnsi="Gill Sans MT"/>
        </w:rPr>
      </w:pPr>
      <w:r>
        <w:rPr>
          <w:rFonts w:ascii="Gill Sans MT" w:hAnsi="Gill Sans MT"/>
        </w:rPr>
        <w:t xml:space="preserve">The following sections of the </w:t>
      </w:r>
      <w:r w:rsidRPr="00681010">
        <w:rPr>
          <w:rFonts w:ascii="Gill Sans MT" w:hAnsi="Gill Sans MT"/>
          <w:i/>
        </w:rPr>
        <w:t xml:space="preserve">Tasmanian Civil and Administrative Tribunal Act </w:t>
      </w:r>
      <w:r w:rsidRPr="00681010">
        <w:rPr>
          <w:rFonts w:ascii="Gill Sans MT" w:hAnsi="Gill Sans MT"/>
        </w:rPr>
        <w:t>2020,</w:t>
      </w:r>
      <w:r>
        <w:rPr>
          <w:rFonts w:ascii="Gill Sans MT" w:hAnsi="Gill Sans MT"/>
        </w:rPr>
        <w:t xml:space="preserve"> set out the preservations of certain rights and processes that existed under the </w:t>
      </w:r>
      <w:r w:rsidRPr="00681010">
        <w:rPr>
          <w:rFonts w:ascii="Gill Sans MT" w:hAnsi="Gill Sans MT"/>
          <w:i/>
        </w:rPr>
        <w:t xml:space="preserve">Resource Management and Planning Appeal Tribunal Act </w:t>
      </w:r>
      <w:r>
        <w:rPr>
          <w:rFonts w:ascii="Gill Sans MT" w:hAnsi="Gill Sans MT"/>
        </w:rPr>
        <w:t xml:space="preserve">1993:  Section 152 to Section 160.  </w:t>
      </w:r>
    </w:p>
    <w:p w:rsidR="005E1AFE" w:rsidRDefault="005E1AFE" w:rsidP="005E1AFE">
      <w:pPr>
        <w:jc w:val="both"/>
        <w:rPr>
          <w:rFonts w:ascii="Gill Sans MT" w:hAnsi="Gill Sans MT"/>
        </w:rPr>
      </w:pPr>
    </w:p>
    <w:p w:rsidR="005E1AFE" w:rsidRDefault="005E1AFE" w:rsidP="005E1AFE">
      <w:pPr>
        <w:jc w:val="both"/>
        <w:rPr>
          <w:rFonts w:ascii="Gill Sans MT" w:hAnsi="Gill Sans MT"/>
        </w:rPr>
      </w:pPr>
      <w:r>
        <w:rPr>
          <w:rFonts w:ascii="Gill Sans MT" w:hAnsi="Gill Sans MT"/>
        </w:rPr>
        <w:t xml:space="preserve">In addition, many of the legislative provisions and procedures set out in the </w:t>
      </w:r>
      <w:r w:rsidRPr="00681010">
        <w:rPr>
          <w:rFonts w:ascii="Gill Sans MT" w:hAnsi="Gill Sans MT"/>
          <w:i/>
        </w:rPr>
        <w:t xml:space="preserve">Resource Management and Planning Appeal Tribunal Act </w:t>
      </w:r>
      <w:r>
        <w:rPr>
          <w:rFonts w:ascii="Gill Sans MT" w:hAnsi="Gill Sans MT"/>
        </w:rPr>
        <w:t xml:space="preserve">1993 have been relocated to Schedule 2 of the </w:t>
      </w:r>
      <w:r w:rsidRPr="00681010">
        <w:rPr>
          <w:rFonts w:ascii="Gill Sans MT" w:hAnsi="Gill Sans MT"/>
          <w:i/>
        </w:rPr>
        <w:t xml:space="preserve">Tasmanian Civil and Administrative Tribunal Act </w:t>
      </w:r>
      <w:r>
        <w:rPr>
          <w:rFonts w:ascii="Gill Sans MT" w:hAnsi="Gill Sans MT"/>
        </w:rPr>
        <w:t xml:space="preserve">2020.  A table has been provided below to assist in locating the new legislative provision by reference to the previous provision under the </w:t>
      </w:r>
      <w:r w:rsidRPr="00681010">
        <w:rPr>
          <w:rFonts w:ascii="Gill Sans MT" w:hAnsi="Gill Sans MT"/>
          <w:i/>
        </w:rPr>
        <w:t xml:space="preserve">RMPAT Act </w:t>
      </w:r>
      <w:r>
        <w:rPr>
          <w:rFonts w:ascii="Gill Sans MT" w:hAnsi="Gill Sans MT"/>
        </w:rPr>
        <w:t>1993.</w:t>
      </w:r>
    </w:p>
    <w:p w:rsidR="005E1AFE" w:rsidRPr="00640E6F" w:rsidRDefault="005E1AFE" w:rsidP="005E1AFE">
      <w:pPr>
        <w:jc w:val="both"/>
        <w:rPr>
          <w:rFonts w:ascii="Gill Sans MT" w:hAnsi="Gill Sans MT"/>
        </w:rPr>
      </w:pPr>
    </w:p>
    <w:p w:rsidR="005E1AFE" w:rsidRPr="008C27D8" w:rsidRDefault="005E1AFE" w:rsidP="005E1AFE">
      <w:pPr>
        <w:jc w:val="both"/>
        <w:rPr>
          <w:rFonts w:ascii="Gill Sans MT" w:hAnsi="Gill Sans MT"/>
          <w:b/>
        </w:rPr>
      </w:pPr>
      <w:r w:rsidRPr="008C27D8">
        <w:rPr>
          <w:rFonts w:ascii="Gill Sans MT" w:hAnsi="Gill Sans MT"/>
          <w:b/>
        </w:rPr>
        <w:t>TABULATION OF RMPAT ACT 1993 PROVI</w:t>
      </w:r>
      <w:r>
        <w:rPr>
          <w:rFonts w:ascii="Gill Sans MT" w:hAnsi="Gill Sans MT"/>
          <w:b/>
        </w:rPr>
        <w:t>SIONS IN THE NEW TASMANIAN CIVIL AND ADMINISTRATIVE TRIBUNAL ACT 2020</w:t>
      </w:r>
    </w:p>
    <w:p w:rsidR="008C27D8" w:rsidRDefault="008C27D8" w:rsidP="008C27D8">
      <w:pPr>
        <w:jc w:val="both"/>
        <w:rPr>
          <w:rFonts w:ascii="Gill Sans MT" w:hAnsi="Gill Sans MT"/>
        </w:rPr>
      </w:pPr>
    </w:p>
    <w:tbl>
      <w:tblPr>
        <w:tblStyle w:val="TableGrid"/>
        <w:tblW w:w="0" w:type="auto"/>
        <w:tblLook w:val="04A0" w:firstRow="1" w:lastRow="0" w:firstColumn="1" w:lastColumn="0" w:noHBand="0" w:noVBand="1"/>
      </w:tblPr>
      <w:tblGrid>
        <w:gridCol w:w="5382"/>
        <w:gridCol w:w="4246"/>
      </w:tblGrid>
      <w:tr w:rsidR="008C27D8" w:rsidRPr="008C27D8" w:rsidTr="008C27D8">
        <w:tc>
          <w:tcPr>
            <w:tcW w:w="5382" w:type="dxa"/>
          </w:tcPr>
          <w:p w:rsidR="008C27D8" w:rsidRPr="008C27D8" w:rsidRDefault="008C27D8" w:rsidP="008C27D8">
            <w:pPr>
              <w:jc w:val="both"/>
              <w:rPr>
                <w:rFonts w:ascii="Gill Sans MT" w:hAnsi="Gill Sans MT"/>
                <w:b/>
              </w:rPr>
            </w:pPr>
            <w:r w:rsidRPr="008C27D8">
              <w:rPr>
                <w:rFonts w:ascii="Gill Sans MT" w:hAnsi="Gill Sans MT"/>
                <w:b/>
              </w:rPr>
              <w:t>RMPAT Provision</w:t>
            </w:r>
          </w:p>
        </w:tc>
        <w:tc>
          <w:tcPr>
            <w:tcW w:w="4246" w:type="dxa"/>
          </w:tcPr>
          <w:p w:rsidR="008C27D8" w:rsidRPr="008C27D8" w:rsidRDefault="008C27D8" w:rsidP="008C27D8">
            <w:pPr>
              <w:jc w:val="both"/>
              <w:rPr>
                <w:rFonts w:ascii="Gill Sans MT" w:hAnsi="Gill Sans MT"/>
                <w:b/>
              </w:rPr>
            </w:pPr>
            <w:r w:rsidRPr="008C27D8">
              <w:rPr>
                <w:rFonts w:ascii="Gill Sans MT" w:hAnsi="Gill Sans MT"/>
                <w:b/>
              </w:rPr>
              <w:t>Location in TASCAT Act 202</w:t>
            </w:r>
            <w:r w:rsidR="00044306">
              <w:rPr>
                <w:rFonts w:ascii="Gill Sans MT" w:hAnsi="Gill Sans MT"/>
                <w:b/>
              </w:rPr>
              <w:t>0</w:t>
            </w:r>
          </w:p>
        </w:tc>
      </w:tr>
      <w:tr w:rsidR="008C27D8" w:rsidTr="008C27D8">
        <w:tc>
          <w:tcPr>
            <w:tcW w:w="5382" w:type="dxa"/>
          </w:tcPr>
          <w:p w:rsidR="008C27D8" w:rsidRDefault="008C27D8" w:rsidP="008C27D8">
            <w:pPr>
              <w:jc w:val="both"/>
              <w:rPr>
                <w:rFonts w:ascii="Gill Sans MT" w:hAnsi="Gill Sans MT"/>
              </w:rPr>
            </w:pPr>
            <w:r>
              <w:rPr>
                <w:rFonts w:ascii="Gill Sans MT" w:hAnsi="Gill Sans MT"/>
              </w:rPr>
              <w:t>Section 6 and Section 7 – composition of Tribunal, appointment of members</w:t>
            </w:r>
          </w:p>
        </w:tc>
        <w:tc>
          <w:tcPr>
            <w:tcW w:w="4246" w:type="dxa"/>
          </w:tcPr>
          <w:p w:rsidR="008C27D8" w:rsidRDefault="008C27D8" w:rsidP="008C27D8">
            <w:pPr>
              <w:jc w:val="both"/>
              <w:rPr>
                <w:rFonts w:ascii="Gill Sans MT" w:hAnsi="Gill Sans MT"/>
              </w:rPr>
            </w:pPr>
            <w:r>
              <w:rPr>
                <w:rFonts w:ascii="Gill Sans MT" w:hAnsi="Gill Sans MT"/>
              </w:rPr>
              <w:t>Schedule 2, Part 8, Clause 4</w:t>
            </w:r>
          </w:p>
        </w:tc>
      </w:tr>
      <w:tr w:rsidR="008C27D8" w:rsidTr="008C27D8">
        <w:tc>
          <w:tcPr>
            <w:tcW w:w="5382" w:type="dxa"/>
          </w:tcPr>
          <w:p w:rsidR="008C27D8" w:rsidRDefault="008C27D8" w:rsidP="008C27D8">
            <w:pPr>
              <w:jc w:val="both"/>
              <w:rPr>
                <w:rFonts w:ascii="Gill Sans MT" w:hAnsi="Gill Sans MT"/>
              </w:rPr>
            </w:pPr>
            <w:r>
              <w:rPr>
                <w:rFonts w:ascii="Gill Sans MT" w:hAnsi="Gill Sans MT"/>
              </w:rPr>
              <w:t>Section 13 – institution of proceedings to the Tribunal</w:t>
            </w:r>
          </w:p>
        </w:tc>
        <w:tc>
          <w:tcPr>
            <w:tcW w:w="4246" w:type="dxa"/>
          </w:tcPr>
          <w:p w:rsidR="008C27D8" w:rsidRDefault="008C27D8" w:rsidP="008C27D8">
            <w:pPr>
              <w:jc w:val="both"/>
              <w:rPr>
                <w:rFonts w:ascii="Gill Sans MT" w:hAnsi="Gill Sans MT"/>
              </w:rPr>
            </w:pPr>
            <w:r>
              <w:rPr>
                <w:rFonts w:ascii="Gill Sans MT" w:hAnsi="Gill Sans MT"/>
              </w:rPr>
              <w:t>Schedule 2, Part 8, Clause 6</w:t>
            </w:r>
          </w:p>
        </w:tc>
      </w:tr>
      <w:tr w:rsidR="008C27D8" w:rsidTr="008C27D8">
        <w:tc>
          <w:tcPr>
            <w:tcW w:w="5382" w:type="dxa"/>
          </w:tcPr>
          <w:p w:rsidR="008C27D8" w:rsidRDefault="008C27D8" w:rsidP="008C27D8">
            <w:pPr>
              <w:jc w:val="both"/>
              <w:rPr>
                <w:rFonts w:ascii="Gill Sans MT" w:hAnsi="Gill Sans MT"/>
              </w:rPr>
            </w:pPr>
            <w:r>
              <w:rPr>
                <w:rFonts w:ascii="Gill Sans MT" w:hAnsi="Gill Sans MT"/>
              </w:rPr>
              <w:t xml:space="preserve">Section 14 – parties to proceedings before the Tribunal </w:t>
            </w:r>
          </w:p>
        </w:tc>
        <w:tc>
          <w:tcPr>
            <w:tcW w:w="4246" w:type="dxa"/>
          </w:tcPr>
          <w:p w:rsidR="008C27D8" w:rsidRDefault="008C27D8" w:rsidP="008C27D8">
            <w:pPr>
              <w:jc w:val="both"/>
              <w:rPr>
                <w:rFonts w:ascii="Gill Sans MT" w:hAnsi="Gill Sans MT"/>
              </w:rPr>
            </w:pPr>
            <w:r>
              <w:rPr>
                <w:rFonts w:ascii="Gill Sans MT" w:hAnsi="Gill Sans MT"/>
              </w:rPr>
              <w:t>Schedule 2, Part 8, Clause 7</w:t>
            </w:r>
          </w:p>
        </w:tc>
      </w:tr>
      <w:tr w:rsidR="008C27D8" w:rsidTr="008C27D8">
        <w:tc>
          <w:tcPr>
            <w:tcW w:w="5382" w:type="dxa"/>
          </w:tcPr>
          <w:p w:rsidR="008C27D8" w:rsidRDefault="008C27D8" w:rsidP="008C27D8">
            <w:pPr>
              <w:jc w:val="both"/>
              <w:rPr>
                <w:rFonts w:ascii="Gill Sans MT" w:hAnsi="Gill Sans MT"/>
              </w:rPr>
            </w:pPr>
            <w:r>
              <w:rPr>
                <w:rFonts w:ascii="Gill Sans MT" w:hAnsi="Gill Sans MT"/>
              </w:rPr>
              <w:t xml:space="preserve">Section 15 – representation before the Tribunal </w:t>
            </w:r>
          </w:p>
        </w:tc>
        <w:tc>
          <w:tcPr>
            <w:tcW w:w="4246" w:type="dxa"/>
          </w:tcPr>
          <w:p w:rsidR="008C27D8" w:rsidRDefault="008C27D8" w:rsidP="008C27D8">
            <w:pPr>
              <w:jc w:val="both"/>
              <w:rPr>
                <w:rFonts w:ascii="Gill Sans MT" w:hAnsi="Gill Sans MT"/>
              </w:rPr>
            </w:pPr>
            <w:r>
              <w:rPr>
                <w:rFonts w:ascii="Gill Sans MT" w:hAnsi="Gill Sans MT"/>
              </w:rPr>
              <w:t>Schedule 2, Part 8, Clause 8</w:t>
            </w:r>
          </w:p>
        </w:tc>
      </w:tr>
      <w:tr w:rsidR="008C27D8" w:rsidTr="008C27D8">
        <w:tc>
          <w:tcPr>
            <w:tcW w:w="5382" w:type="dxa"/>
          </w:tcPr>
          <w:p w:rsidR="008C27D8" w:rsidRDefault="008C27D8" w:rsidP="008C27D8">
            <w:pPr>
              <w:jc w:val="both"/>
              <w:rPr>
                <w:rFonts w:ascii="Gill Sans MT" w:hAnsi="Gill Sans MT"/>
              </w:rPr>
            </w:pPr>
            <w:r>
              <w:rPr>
                <w:rFonts w:ascii="Gill Sans MT" w:hAnsi="Gill Sans MT"/>
              </w:rPr>
              <w:t>Section 16(1)(f), 16(6), 16(7) – 90 day timeframe</w:t>
            </w:r>
          </w:p>
        </w:tc>
        <w:tc>
          <w:tcPr>
            <w:tcW w:w="4246" w:type="dxa"/>
          </w:tcPr>
          <w:p w:rsidR="008C27D8" w:rsidRDefault="008C27D8" w:rsidP="008C27D8">
            <w:pPr>
              <w:jc w:val="both"/>
              <w:rPr>
                <w:rFonts w:ascii="Gill Sans MT" w:hAnsi="Gill Sans MT"/>
              </w:rPr>
            </w:pPr>
            <w:r>
              <w:rPr>
                <w:rFonts w:ascii="Gill Sans MT" w:hAnsi="Gill Sans MT"/>
              </w:rPr>
              <w:t>Schedule 2, Part 8, Clause 9(1), (2),(3)</w:t>
            </w:r>
          </w:p>
        </w:tc>
      </w:tr>
      <w:tr w:rsidR="008C27D8" w:rsidTr="008C27D8">
        <w:tc>
          <w:tcPr>
            <w:tcW w:w="5382" w:type="dxa"/>
          </w:tcPr>
          <w:p w:rsidR="008C27D8" w:rsidRDefault="008C27D8" w:rsidP="008C27D8">
            <w:pPr>
              <w:jc w:val="both"/>
              <w:rPr>
                <w:rFonts w:ascii="Gill Sans MT" w:hAnsi="Gill Sans MT"/>
              </w:rPr>
            </w:pPr>
            <w:r>
              <w:rPr>
                <w:rFonts w:ascii="Gill Sans MT" w:hAnsi="Gill Sans MT"/>
              </w:rPr>
              <w:t xml:space="preserve">Section 19 – opportunity to make submissions </w:t>
            </w:r>
          </w:p>
        </w:tc>
        <w:tc>
          <w:tcPr>
            <w:tcW w:w="4246" w:type="dxa"/>
          </w:tcPr>
          <w:p w:rsidR="008C27D8" w:rsidRDefault="008C27D8" w:rsidP="008C27D8">
            <w:pPr>
              <w:jc w:val="both"/>
              <w:rPr>
                <w:rFonts w:ascii="Gill Sans MT" w:hAnsi="Gill Sans MT"/>
              </w:rPr>
            </w:pPr>
            <w:r>
              <w:rPr>
                <w:rFonts w:ascii="Gill Sans MT" w:hAnsi="Gill Sans MT"/>
              </w:rPr>
              <w:t>Schedule 2, Part 8, Clause 9(4)</w:t>
            </w:r>
          </w:p>
        </w:tc>
      </w:tr>
      <w:tr w:rsidR="008C27D8" w:rsidTr="008C27D8">
        <w:tc>
          <w:tcPr>
            <w:tcW w:w="5382" w:type="dxa"/>
          </w:tcPr>
          <w:p w:rsidR="008C27D8" w:rsidRDefault="008C27D8" w:rsidP="008C27D8">
            <w:pPr>
              <w:jc w:val="both"/>
              <w:rPr>
                <w:rFonts w:ascii="Gill Sans MT" w:hAnsi="Gill Sans MT"/>
              </w:rPr>
            </w:pPr>
            <w:r>
              <w:rPr>
                <w:rFonts w:ascii="Gill Sans MT" w:hAnsi="Gill Sans MT"/>
              </w:rPr>
              <w:t xml:space="preserve">Section </w:t>
            </w:r>
            <w:r w:rsidR="00105551">
              <w:rPr>
                <w:rFonts w:ascii="Gill Sans MT" w:hAnsi="Gill Sans MT"/>
              </w:rPr>
              <w:t>21 – power to dismiss claim or strike out party</w:t>
            </w:r>
          </w:p>
        </w:tc>
        <w:tc>
          <w:tcPr>
            <w:tcW w:w="4246" w:type="dxa"/>
          </w:tcPr>
          <w:p w:rsidR="008C27D8" w:rsidRDefault="00105551" w:rsidP="008C27D8">
            <w:pPr>
              <w:jc w:val="both"/>
              <w:rPr>
                <w:rFonts w:ascii="Gill Sans MT" w:hAnsi="Gill Sans MT"/>
              </w:rPr>
            </w:pPr>
            <w:r>
              <w:rPr>
                <w:rFonts w:ascii="Gill Sans MT" w:hAnsi="Gill Sans MT"/>
              </w:rPr>
              <w:t>Schedule 2, Part 8, Clause 9(5)</w:t>
            </w:r>
          </w:p>
        </w:tc>
      </w:tr>
      <w:tr w:rsidR="008C27D8" w:rsidTr="008C27D8">
        <w:tc>
          <w:tcPr>
            <w:tcW w:w="5382" w:type="dxa"/>
          </w:tcPr>
          <w:p w:rsidR="008C27D8" w:rsidRDefault="00105551" w:rsidP="008C27D8">
            <w:pPr>
              <w:jc w:val="both"/>
              <w:rPr>
                <w:rFonts w:ascii="Gill Sans MT" w:hAnsi="Gill Sans MT"/>
              </w:rPr>
            </w:pPr>
            <w:r>
              <w:rPr>
                <w:rFonts w:ascii="Gill Sans MT" w:hAnsi="Gill Sans MT"/>
              </w:rPr>
              <w:t>Section 22(2) – power to excuse failure</w:t>
            </w:r>
          </w:p>
        </w:tc>
        <w:tc>
          <w:tcPr>
            <w:tcW w:w="4246" w:type="dxa"/>
          </w:tcPr>
          <w:p w:rsidR="008C27D8" w:rsidRDefault="00105551" w:rsidP="008C27D8">
            <w:pPr>
              <w:jc w:val="both"/>
              <w:rPr>
                <w:rFonts w:ascii="Gill Sans MT" w:hAnsi="Gill Sans MT"/>
              </w:rPr>
            </w:pPr>
            <w:r>
              <w:rPr>
                <w:rFonts w:ascii="Gill Sans MT" w:hAnsi="Gill Sans MT"/>
              </w:rPr>
              <w:t>Schedule 2, Part 8, Clause 9(6)</w:t>
            </w:r>
          </w:p>
        </w:tc>
      </w:tr>
      <w:tr w:rsidR="008C27D8" w:rsidTr="008C27D8">
        <w:tc>
          <w:tcPr>
            <w:tcW w:w="5382" w:type="dxa"/>
          </w:tcPr>
          <w:p w:rsidR="008C27D8" w:rsidRDefault="00105551" w:rsidP="008C27D8">
            <w:pPr>
              <w:jc w:val="both"/>
              <w:rPr>
                <w:rFonts w:ascii="Gill Sans MT" w:hAnsi="Gill Sans MT"/>
              </w:rPr>
            </w:pPr>
            <w:r>
              <w:rPr>
                <w:rFonts w:ascii="Gill Sans MT" w:hAnsi="Gill Sans MT"/>
              </w:rPr>
              <w:t>Section 22(3) – power to amend application</w:t>
            </w:r>
          </w:p>
        </w:tc>
        <w:tc>
          <w:tcPr>
            <w:tcW w:w="4246" w:type="dxa"/>
          </w:tcPr>
          <w:p w:rsidR="008C27D8" w:rsidRDefault="00105551" w:rsidP="008C27D8">
            <w:pPr>
              <w:jc w:val="both"/>
              <w:rPr>
                <w:rFonts w:ascii="Gill Sans MT" w:hAnsi="Gill Sans MT"/>
              </w:rPr>
            </w:pPr>
            <w:r>
              <w:rPr>
                <w:rFonts w:ascii="Gill Sans MT" w:hAnsi="Gill Sans MT"/>
              </w:rPr>
              <w:t>Schedule 2, Part 8, Clause 9(7)</w:t>
            </w:r>
          </w:p>
        </w:tc>
      </w:tr>
      <w:tr w:rsidR="008C27D8" w:rsidTr="008C27D8">
        <w:tc>
          <w:tcPr>
            <w:tcW w:w="5382" w:type="dxa"/>
          </w:tcPr>
          <w:p w:rsidR="008C27D8" w:rsidRDefault="00105551" w:rsidP="008C27D8">
            <w:pPr>
              <w:jc w:val="both"/>
              <w:rPr>
                <w:rFonts w:ascii="Gill Sans MT" w:hAnsi="Gill Sans MT"/>
              </w:rPr>
            </w:pPr>
            <w:r>
              <w:rPr>
                <w:rFonts w:ascii="Gill Sans MT" w:hAnsi="Gill Sans MT"/>
              </w:rPr>
              <w:t>Section 22A – power to dismiss proceedings if frivolous or vexatious or a failure to comply with directions</w:t>
            </w:r>
          </w:p>
        </w:tc>
        <w:tc>
          <w:tcPr>
            <w:tcW w:w="4246" w:type="dxa"/>
          </w:tcPr>
          <w:p w:rsidR="008C27D8" w:rsidRDefault="00105551" w:rsidP="008C27D8">
            <w:pPr>
              <w:jc w:val="both"/>
              <w:rPr>
                <w:rFonts w:ascii="Gill Sans MT" w:hAnsi="Gill Sans MT"/>
              </w:rPr>
            </w:pPr>
            <w:r>
              <w:rPr>
                <w:rFonts w:ascii="Gill Sans MT" w:hAnsi="Gill Sans MT"/>
              </w:rPr>
              <w:t>Schedule 2, Part 8, Clause 9(8)</w:t>
            </w:r>
          </w:p>
        </w:tc>
      </w:tr>
      <w:tr w:rsidR="00105551" w:rsidTr="008C27D8">
        <w:tc>
          <w:tcPr>
            <w:tcW w:w="5382" w:type="dxa"/>
          </w:tcPr>
          <w:p w:rsidR="00105551" w:rsidRDefault="00105551" w:rsidP="008C27D8">
            <w:pPr>
              <w:jc w:val="both"/>
              <w:rPr>
                <w:rFonts w:ascii="Gill Sans MT" w:hAnsi="Gill Sans MT"/>
              </w:rPr>
            </w:pPr>
            <w:r>
              <w:rPr>
                <w:rFonts w:ascii="Gill Sans MT" w:hAnsi="Gill Sans MT"/>
              </w:rPr>
              <w:t>Section 23(3), 23(4), 23(6), 23(7) – determination of an appeal</w:t>
            </w:r>
          </w:p>
        </w:tc>
        <w:tc>
          <w:tcPr>
            <w:tcW w:w="4246" w:type="dxa"/>
          </w:tcPr>
          <w:p w:rsidR="00105551" w:rsidRDefault="00105551" w:rsidP="008C27D8">
            <w:pPr>
              <w:jc w:val="both"/>
              <w:rPr>
                <w:rFonts w:ascii="Gill Sans MT" w:hAnsi="Gill Sans MT"/>
              </w:rPr>
            </w:pPr>
            <w:r>
              <w:rPr>
                <w:rFonts w:ascii="Gill Sans MT" w:hAnsi="Gill Sans MT"/>
              </w:rPr>
              <w:t>Schedule 2, Part 8, Clause 10</w:t>
            </w:r>
          </w:p>
        </w:tc>
      </w:tr>
      <w:tr w:rsidR="00105551" w:rsidTr="008C27D8">
        <w:tc>
          <w:tcPr>
            <w:tcW w:w="5382" w:type="dxa"/>
          </w:tcPr>
          <w:p w:rsidR="00105551" w:rsidRDefault="00105551" w:rsidP="008C27D8">
            <w:pPr>
              <w:jc w:val="both"/>
              <w:rPr>
                <w:rFonts w:ascii="Gill Sans MT" w:hAnsi="Gill Sans MT"/>
              </w:rPr>
            </w:pPr>
            <w:r>
              <w:rPr>
                <w:rFonts w:ascii="Gill Sans MT" w:hAnsi="Gill Sans MT"/>
              </w:rPr>
              <w:t>Section 24 – reasons to be given</w:t>
            </w:r>
          </w:p>
        </w:tc>
        <w:tc>
          <w:tcPr>
            <w:tcW w:w="4246" w:type="dxa"/>
          </w:tcPr>
          <w:p w:rsidR="00105551" w:rsidRDefault="00105551" w:rsidP="008C27D8">
            <w:pPr>
              <w:jc w:val="both"/>
              <w:rPr>
                <w:rFonts w:ascii="Gill Sans MT" w:hAnsi="Gill Sans MT"/>
              </w:rPr>
            </w:pPr>
            <w:r>
              <w:rPr>
                <w:rFonts w:ascii="Gill Sans MT" w:hAnsi="Gill Sans MT"/>
              </w:rPr>
              <w:t>Schedule 2, Part 8, Clause 11</w:t>
            </w:r>
          </w:p>
        </w:tc>
      </w:tr>
      <w:tr w:rsidR="00105551" w:rsidTr="008C27D8">
        <w:tc>
          <w:tcPr>
            <w:tcW w:w="5382" w:type="dxa"/>
          </w:tcPr>
          <w:p w:rsidR="00105551" w:rsidRDefault="00105551" w:rsidP="008C27D8">
            <w:pPr>
              <w:jc w:val="both"/>
              <w:rPr>
                <w:rFonts w:ascii="Gill Sans MT" w:hAnsi="Gill Sans MT"/>
              </w:rPr>
            </w:pPr>
            <w:r>
              <w:rPr>
                <w:rFonts w:ascii="Gill Sans MT" w:hAnsi="Gill Sans MT"/>
              </w:rPr>
              <w:t>Section 28 – costs</w:t>
            </w:r>
          </w:p>
        </w:tc>
        <w:tc>
          <w:tcPr>
            <w:tcW w:w="4246" w:type="dxa"/>
          </w:tcPr>
          <w:p w:rsidR="00105551" w:rsidRDefault="00105551" w:rsidP="008C27D8">
            <w:pPr>
              <w:jc w:val="both"/>
              <w:rPr>
                <w:rFonts w:ascii="Gill Sans MT" w:hAnsi="Gill Sans MT"/>
              </w:rPr>
            </w:pPr>
            <w:r>
              <w:rPr>
                <w:rFonts w:ascii="Gill Sans MT" w:hAnsi="Gill Sans MT"/>
              </w:rPr>
              <w:t>Schedule 2, Part 8, Clause 12</w:t>
            </w:r>
          </w:p>
        </w:tc>
      </w:tr>
      <w:tr w:rsidR="00105551" w:rsidTr="008C27D8">
        <w:tc>
          <w:tcPr>
            <w:tcW w:w="5382" w:type="dxa"/>
          </w:tcPr>
          <w:p w:rsidR="00105551" w:rsidRDefault="00105551" w:rsidP="008C27D8">
            <w:pPr>
              <w:jc w:val="both"/>
              <w:rPr>
                <w:rFonts w:ascii="Gill Sans MT" w:hAnsi="Gill Sans MT"/>
              </w:rPr>
            </w:pPr>
            <w:r>
              <w:rPr>
                <w:rFonts w:ascii="Gill Sans MT" w:hAnsi="Gill Sans MT"/>
              </w:rPr>
              <w:t>Section 31 – refusal of witness to be sworn or answer questions</w:t>
            </w:r>
          </w:p>
        </w:tc>
        <w:tc>
          <w:tcPr>
            <w:tcW w:w="4246" w:type="dxa"/>
          </w:tcPr>
          <w:p w:rsidR="00105551" w:rsidRDefault="00105551" w:rsidP="008C27D8">
            <w:pPr>
              <w:jc w:val="both"/>
              <w:rPr>
                <w:rFonts w:ascii="Gill Sans MT" w:hAnsi="Gill Sans MT"/>
              </w:rPr>
            </w:pPr>
            <w:r>
              <w:rPr>
                <w:rFonts w:ascii="Gill Sans MT" w:hAnsi="Gill Sans MT"/>
              </w:rPr>
              <w:t>Schedule 2, Part 8, Clause 13</w:t>
            </w:r>
          </w:p>
        </w:tc>
      </w:tr>
    </w:tbl>
    <w:p w:rsidR="008C27D8" w:rsidRPr="008C27D8" w:rsidRDefault="008C27D8" w:rsidP="008C27D8">
      <w:pPr>
        <w:jc w:val="both"/>
        <w:rPr>
          <w:rFonts w:ascii="Gill Sans MT" w:hAnsi="Gill Sans MT"/>
        </w:rPr>
      </w:pPr>
    </w:p>
    <w:sectPr w:rsidR="008C27D8" w:rsidRPr="008C27D8" w:rsidSect="00413E4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9CA" w:rsidRDefault="005E09CA" w:rsidP="005E09CA">
      <w:r>
        <w:separator/>
      </w:r>
    </w:p>
  </w:endnote>
  <w:endnote w:type="continuationSeparator" w:id="0">
    <w:p w:rsidR="005E09CA" w:rsidRDefault="005E09CA" w:rsidP="005E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49" w:rsidRPr="00413E49" w:rsidRDefault="00413E49" w:rsidP="00413E49">
    <w:pPr>
      <w:pStyle w:val="Footer"/>
      <w:jc w:val="right"/>
      <w:rPr>
        <w:rFonts w:ascii="Gill Sans MT" w:hAnsi="Gill Sans MT"/>
        <w:sz w:val="18"/>
      </w:rPr>
    </w:pPr>
    <w:r>
      <w:rPr>
        <w:rFonts w:ascii="Gill Sans MT" w:hAnsi="Gill Sans MT"/>
        <w:sz w:val="18"/>
      </w:rPr>
      <w:t>Version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9CA" w:rsidRDefault="005E09CA" w:rsidP="005E09CA">
      <w:r>
        <w:separator/>
      </w:r>
    </w:p>
  </w:footnote>
  <w:footnote w:type="continuationSeparator" w:id="0">
    <w:p w:rsidR="005E09CA" w:rsidRDefault="005E09CA" w:rsidP="005E0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E41"/>
    <w:multiLevelType w:val="hybridMultilevel"/>
    <w:tmpl w:val="82009B0A"/>
    <w:lvl w:ilvl="0" w:tplc="BF301A2C">
      <w:start w:val="1"/>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F38199F"/>
    <w:multiLevelType w:val="multilevel"/>
    <w:tmpl w:val="20B4E5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93"/>
    <w:rsid w:val="000142B9"/>
    <w:rsid w:val="00044306"/>
    <w:rsid w:val="000931B0"/>
    <w:rsid w:val="00105551"/>
    <w:rsid w:val="00164D20"/>
    <w:rsid w:val="001D4D6E"/>
    <w:rsid w:val="00207664"/>
    <w:rsid w:val="00282915"/>
    <w:rsid w:val="003B6E5F"/>
    <w:rsid w:val="003E2CED"/>
    <w:rsid w:val="00413E49"/>
    <w:rsid w:val="00441031"/>
    <w:rsid w:val="004744A3"/>
    <w:rsid w:val="00474779"/>
    <w:rsid w:val="00515100"/>
    <w:rsid w:val="005E09CA"/>
    <w:rsid w:val="005E1AFE"/>
    <w:rsid w:val="00681C55"/>
    <w:rsid w:val="006E690C"/>
    <w:rsid w:val="0070701E"/>
    <w:rsid w:val="00716934"/>
    <w:rsid w:val="0080563A"/>
    <w:rsid w:val="008C27D8"/>
    <w:rsid w:val="008D41AD"/>
    <w:rsid w:val="008E587C"/>
    <w:rsid w:val="00996493"/>
    <w:rsid w:val="00A04254"/>
    <w:rsid w:val="00BE5AE2"/>
    <w:rsid w:val="00BE7563"/>
    <w:rsid w:val="00C13445"/>
    <w:rsid w:val="00CC0113"/>
    <w:rsid w:val="00D629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EB25994"/>
  <w15:chartTrackingRefBased/>
  <w15:docId w15:val="{272031DC-38EB-49F7-B7E0-C9FC6D06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493"/>
    <w:pPr>
      <w:ind w:left="720"/>
      <w:contextualSpacing/>
    </w:pPr>
  </w:style>
  <w:style w:type="paragraph" w:styleId="Header">
    <w:name w:val="header"/>
    <w:basedOn w:val="Normal"/>
    <w:link w:val="HeaderChar"/>
    <w:unhideWhenUsed/>
    <w:rsid w:val="005E09CA"/>
    <w:pPr>
      <w:tabs>
        <w:tab w:val="center" w:pos="4513"/>
        <w:tab w:val="right" w:pos="9026"/>
      </w:tabs>
    </w:pPr>
  </w:style>
  <w:style w:type="character" w:customStyle="1" w:styleId="HeaderChar">
    <w:name w:val="Header Char"/>
    <w:basedOn w:val="DefaultParagraphFont"/>
    <w:link w:val="Header"/>
    <w:rsid w:val="005E09CA"/>
    <w:rPr>
      <w:sz w:val="24"/>
      <w:szCs w:val="24"/>
    </w:rPr>
  </w:style>
  <w:style w:type="paragraph" w:styleId="Footer">
    <w:name w:val="footer"/>
    <w:basedOn w:val="Normal"/>
    <w:link w:val="FooterChar"/>
    <w:unhideWhenUsed/>
    <w:rsid w:val="005E09CA"/>
    <w:pPr>
      <w:tabs>
        <w:tab w:val="center" w:pos="4513"/>
        <w:tab w:val="right" w:pos="9026"/>
      </w:tabs>
    </w:pPr>
  </w:style>
  <w:style w:type="character" w:customStyle="1" w:styleId="FooterChar">
    <w:name w:val="Footer Char"/>
    <w:basedOn w:val="DefaultParagraphFont"/>
    <w:link w:val="Footer"/>
    <w:rsid w:val="005E09CA"/>
    <w:rPr>
      <w:sz w:val="24"/>
      <w:szCs w:val="24"/>
    </w:rPr>
  </w:style>
  <w:style w:type="table" w:styleId="TableGrid">
    <w:name w:val="Table Grid"/>
    <w:basedOn w:val="TableNormal"/>
    <w:rsid w:val="008C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04254"/>
    <w:rPr>
      <w:rFonts w:ascii="Segoe UI" w:hAnsi="Segoe UI" w:cs="Segoe UI"/>
      <w:sz w:val="18"/>
      <w:szCs w:val="18"/>
    </w:rPr>
  </w:style>
  <w:style w:type="character" w:customStyle="1" w:styleId="BalloonTextChar">
    <w:name w:val="Balloon Text Char"/>
    <w:basedOn w:val="DefaultParagraphFont"/>
    <w:link w:val="BalloonText"/>
    <w:semiHidden/>
    <w:rsid w:val="00A04254"/>
    <w:rPr>
      <w:rFonts w:ascii="Segoe UI" w:hAnsi="Segoe UI" w:cs="Segoe UI"/>
      <w:sz w:val="18"/>
      <w:szCs w:val="18"/>
    </w:rPr>
  </w:style>
  <w:style w:type="character" w:styleId="Hyperlink">
    <w:name w:val="Hyperlink"/>
    <w:basedOn w:val="DefaultParagraphFont"/>
    <w:unhideWhenUsed/>
    <w:rsid w:val="001D4D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ascat.tas.gov.au/resource-and-planning/legis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C732F-AD4D-49D3-BC9C-C824A197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1244</Words>
  <Characters>6626</Characters>
  <Application>Microsoft Office Word</Application>
  <DocSecurity>0</DocSecurity>
  <Lines>946</Lines>
  <Paragraphs>271</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Jarrod</dc:creator>
  <cp:keywords/>
  <dc:description/>
  <cp:lastModifiedBy>Harris, Hilary</cp:lastModifiedBy>
  <cp:revision>20</cp:revision>
  <cp:lastPrinted>2021-11-02T05:00:00Z</cp:lastPrinted>
  <dcterms:created xsi:type="dcterms:W3CDTF">2021-08-29T00:00:00Z</dcterms:created>
  <dcterms:modified xsi:type="dcterms:W3CDTF">2021-11-18T05:49:00Z</dcterms:modified>
</cp:coreProperties>
</file>