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4370A" w14:textId="77777777" w:rsidR="00EE0197" w:rsidRDefault="00EE0197" w:rsidP="00EE0197">
      <w:pPr>
        <w:spacing w:after="240"/>
        <w:jc w:val="center"/>
        <w:rPr>
          <w:rFonts w:ascii="Gill Sans MT" w:hAnsi="Gill Sans MT"/>
          <w:b/>
          <w:sz w:val="24"/>
          <w:szCs w:val="24"/>
        </w:rPr>
      </w:pPr>
    </w:p>
    <w:p w14:paraId="2FDADE05" w14:textId="77777777" w:rsidR="00EE0197" w:rsidRDefault="00EE0197" w:rsidP="00EE0197">
      <w:pPr>
        <w:spacing w:after="240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GENERAL DIVISION</w:t>
      </w:r>
    </w:p>
    <w:p w14:paraId="1C90BCCE" w14:textId="06718567" w:rsidR="0069313B" w:rsidRDefault="0069313B" w:rsidP="00EE0197">
      <w:pPr>
        <w:spacing w:after="240"/>
        <w:jc w:val="center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PERSONAL COMPENSATION STREAM</w:t>
      </w:r>
    </w:p>
    <w:p w14:paraId="7A843084" w14:textId="141FA1D9" w:rsidR="001D2971" w:rsidRDefault="001D2971" w:rsidP="00EE0197">
      <w:pPr>
        <w:spacing w:after="240"/>
        <w:jc w:val="center"/>
        <w:rPr>
          <w:rFonts w:ascii="Gill Sans MT" w:hAnsi="Gill Sans MT"/>
          <w:b/>
          <w:sz w:val="24"/>
          <w:szCs w:val="24"/>
        </w:rPr>
      </w:pPr>
      <w:r w:rsidRPr="001D2971">
        <w:rPr>
          <w:rFonts w:ascii="Gill Sans MT" w:hAnsi="Gill Sans MT"/>
          <w:b/>
          <w:sz w:val="24"/>
          <w:szCs w:val="24"/>
        </w:rPr>
        <w:t xml:space="preserve">PRACTICE DIRECTION </w:t>
      </w:r>
      <w:r w:rsidR="002C4250">
        <w:rPr>
          <w:rFonts w:ascii="Gill Sans MT" w:hAnsi="Gill Sans MT"/>
          <w:b/>
          <w:sz w:val="24"/>
          <w:szCs w:val="24"/>
        </w:rPr>
        <w:t>2</w:t>
      </w:r>
    </w:p>
    <w:p w14:paraId="3C463BD4" w14:textId="77777777" w:rsidR="00411FB8" w:rsidRPr="002C4250" w:rsidRDefault="00411FB8" w:rsidP="0069313B">
      <w:pPr>
        <w:spacing w:after="240"/>
        <w:jc w:val="both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This Practice Direction is </w:t>
      </w:r>
      <w:r w:rsidR="001D2971" w:rsidRPr="003D6D92">
        <w:rPr>
          <w:rFonts w:ascii="Gill Sans MT" w:hAnsi="Gill Sans MT"/>
          <w:sz w:val="24"/>
          <w:szCs w:val="24"/>
        </w:rPr>
        <w:t xml:space="preserve">made pursuant to </w:t>
      </w:r>
      <w:r w:rsidR="00EE0197">
        <w:rPr>
          <w:rFonts w:ascii="Gill Sans MT" w:hAnsi="Gill Sans MT"/>
          <w:sz w:val="24"/>
          <w:szCs w:val="24"/>
        </w:rPr>
        <w:t>s</w:t>
      </w:r>
      <w:r w:rsidR="001D2971" w:rsidRPr="003D6D92">
        <w:rPr>
          <w:rFonts w:ascii="Gill Sans MT" w:hAnsi="Gill Sans MT"/>
          <w:sz w:val="24"/>
          <w:szCs w:val="24"/>
        </w:rPr>
        <w:t xml:space="preserve">93 of the </w:t>
      </w:r>
      <w:r w:rsidR="001D2971" w:rsidRPr="003D6D92">
        <w:rPr>
          <w:rFonts w:ascii="Gill Sans MT" w:hAnsi="Gill Sans MT"/>
          <w:i/>
          <w:sz w:val="24"/>
          <w:szCs w:val="24"/>
        </w:rPr>
        <w:t xml:space="preserve">Tasmanian Civil and Administrative Tribunal Act </w:t>
      </w:r>
      <w:r w:rsidR="001D2971" w:rsidRPr="0069313B">
        <w:rPr>
          <w:rFonts w:ascii="Gill Sans MT" w:hAnsi="Gill Sans MT"/>
          <w:i/>
          <w:iCs/>
          <w:sz w:val="24"/>
          <w:szCs w:val="24"/>
        </w:rPr>
        <w:t>202</w:t>
      </w:r>
      <w:r w:rsidR="00024CC4" w:rsidRPr="0069313B">
        <w:rPr>
          <w:rFonts w:ascii="Gill Sans MT" w:hAnsi="Gill Sans MT"/>
          <w:i/>
          <w:iCs/>
          <w:sz w:val="24"/>
          <w:szCs w:val="24"/>
        </w:rPr>
        <w:t>0</w:t>
      </w:r>
      <w:r w:rsidR="001D2971" w:rsidRPr="003D6D92">
        <w:rPr>
          <w:rFonts w:ascii="Gill Sans MT" w:hAnsi="Gill Sans MT"/>
          <w:i/>
          <w:sz w:val="24"/>
          <w:szCs w:val="24"/>
        </w:rPr>
        <w:t>.</w:t>
      </w:r>
    </w:p>
    <w:p w14:paraId="49BE70EC" w14:textId="36A415A1" w:rsidR="002C4250" w:rsidRDefault="0069313B" w:rsidP="0069313B">
      <w:pPr>
        <w:spacing w:after="240"/>
        <w:ind w:left="720" w:hanging="72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2.1</w:t>
      </w:r>
      <w:r>
        <w:rPr>
          <w:rFonts w:ascii="Gill Sans MT" w:hAnsi="Gill Sans MT"/>
          <w:bCs/>
          <w:sz w:val="24"/>
          <w:szCs w:val="24"/>
        </w:rPr>
        <w:tab/>
      </w:r>
      <w:r w:rsidR="002C4250">
        <w:rPr>
          <w:rFonts w:ascii="Gill Sans MT" w:hAnsi="Gill Sans MT"/>
          <w:bCs/>
          <w:sz w:val="24"/>
          <w:szCs w:val="24"/>
        </w:rPr>
        <w:t xml:space="preserve">Any proposed agreement to settle a worker’s claim for compensation within 2 years of the claim being first made must be approved by </w:t>
      </w:r>
      <w:r w:rsidR="0038442F">
        <w:rPr>
          <w:rFonts w:ascii="Gill Sans MT" w:hAnsi="Gill Sans MT"/>
          <w:bCs/>
          <w:sz w:val="24"/>
          <w:szCs w:val="24"/>
        </w:rPr>
        <w:t>the Tribunal pursuant to s132A(5</w:t>
      </w:r>
      <w:r w:rsidR="002C4250">
        <w:rPr>
          <w:rFonts w:ascii="Gill Sans MT" w:hAnsi="Gill Sans MT"/>
          <w:bCs/>
          <w:sz w:val="24"/>
          <w:szCs w:val="24"/>
        </w:rPr>
        <w:t>).  The Tribunal may approve, or refuse to approve, a proposed agreement to settle that is referred to it.</w:t>
      </w:r>
    </w:p>
    <w:p w14:paraId="29FEEE78" w14:textId="77777777" w:rsidR="002C4250" w:rsidRDefault="002C4250" w:rsidP="0069313B">
      <w:pPr>
        <w:spacing w:after="240"/>
        <w:ind w:firstLine="72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Section 132A(6) states:</w:t>
      </w:r>
    </w:p>
    <w:p w14:paraId="340F382D" w14:textId="77777777" w:rsidR="002C4250" w:rsidRPr="00742C43" w:rsidRDefault="002C4250" w:rsidP="002C4250">
      <w:pPr>
        <w:spacing w:after="240"/>
        <w:ind w:left="720"/>
        <w:jc w:val="both"/>
        <w:rPr>
          <w:rFonts w:ascii="Gill Sans MT" w:hAnsi="Gill Sans MT"/>
          <w:bCs/>
          <w:i/>
          <w:iCs/>
          <w:sz w:val="24"/>
          <w:szCs w:val="24"/>
        </w:rPr>
      </w:pPr>
      <w:r w:rsidRPr="00742C43">
        <w:rPr>
          <w:rFonts w:ascii="Gill Sans MT" w:hAnsi="Gill Sans MT"/>
          <w:bCs/>
          <w:i/>
          <w:iCs/>
          <w:sz w:val="24"/>
          <w:szCs w:val="24"/>
        </w:rPr>
        <w:t>(6) The Tribunal may only approve under subsection (5) a proposed agreement to settle -</w:t>
      </w:r>
    </w:p>
    <w:p w14:paraId="46EAF43C" w14:textId="77777777" w:rsidR="002C4250" w:rsidRPr="00742C43" w:rsidRDefault="002C4250" w:rsidP="002C4250">
      <w:pPr>
        <w:pStyle w:val="ListParagraph"/>
        <w:numPr>
          <w:ilvl w:val="0"/>
          <w:numId w:val="20"/>
        </w:numPr>
        <w:spacing w:after="240" w:line="240" w:lineRule="auto"/>
        <w:ind w:left="1418" w:hanging="709"/>
        <w:contextualSpacing w:val="0"/>
        <w:jc w:val="both"/>
        <w:rPr>
          <w:rFonts w:ascii="Gill Sans MT" w:hAnsi="Gill Sans MT"/>
          <w:bCs/>
          <w:i/>
          <w:iCs/>
          <w:sz w:val="24"/>
          <w:szCs w:val="24"/>
        </w:rPr>
      </w:pPr>
      <w:r w:rsidRPr="00742C43">
        <w:rPr>
          <w:rFonts w:ascii="Gill Sans MT" w:hAnsi="Gill Sans MT"/>
          <w:bCs/>
          <w:i/>
          <w:iCs/>
          <w:sz w:val="24"/>
          <w:szCs w:val="24"/>
        </w:rPr>
        <w:t>if the Tribunal is satisfied that –</w:t>
      </w:r>
      <w:bookmarkStart w:id="0" w:name="GS132A@Gs6@Hpa@Hqi@EN"/>
      <w:bookmarkEnd w:id="0"/>
    </w:p>
    <w:p w14:paraId="3EA86C20" w14:textId="77777777" w:rsidR="002C4250" w:rsidRPr="00742C43" w:rsidRDefault="002C4250" w:rsidP="002C4250">
      <w:pPr>
        <w:pStyle w:val="ListParagraph"/>
        <w:numPr>
          <w:ilvl w:val="0"/>
          <w:numId w:val="19"/>
        </w:numPr>
        <w:spacing w:after="240" w:line="240" w:lineRule="auto"/>
        <w:contextualSpacing w:val="0"/>
        <w:jc w:val="both"/>
        <w:rPr>
          <w:rFonts w:ascii="Gill Sans MT" w:hAnsi="Gill Sans MT"/>
          <w:bCs/>
          <w:i/>
          <w:iCs/>
          <w:sz w:val="24"/>
          <w:szCs w:val="24"/>
        </w:rPr>
      </w:pPr>
      <w:r w:rsidRPr="00742C43">
        <w:rPr>
          <w:rFonts w:ascii="Gill Sans MT" w:hAnsi="Gill Sans MT"/>
          <w:bCs/>
          <w:i/>
          <w:iCs/>
          <w:sz w:val="24"/>
          <w:szCs w:val="24"/>
        </w:rPr>
        <w:t>all reasonable steps have been taken to enable the worker to whom the proposed agreement relates to be rehabilitated or retrained or to return to work; or</w:t>
      </w:r>
      <w:bookmarkStart w:id="1" w:name="GS132A@Gs6@Hpa@Hqii@EN"/>
      <w:bookmarkEnd w:id="1"/>
    </w:p>
    <w:p w14:paraId="5E48E8A8" w14:textId="77777777" w:rsidR="002C4250" w:rsidRPr="00742C43" w:rsidRDefault="002C4250" w:rsidP="002C4250">
      <w:pPr>
        <w:pStyle w:val="ListParagraph"/>
        <w:numPr>
          <w:ilvl w:val="0"/>
          <w:numId w:val="19"/>
        </w:numPr>
        <w:spacing w:after="240" w:line="240" w:lineRule="auto"/>
        <w:contextualSpacing w:val="0"/>
        <w:jc w:val="both"/>
        <w:rPr>
          <w:rFonts w:ascii="Gill Sans MT" w:hAnsi="Gill Sans MT"/>
          <w:bCs/>
          <w:i/>
          <w:iCs/>
          <w:sz w:val="24"/>
          <w:szCs w:val="24"/>
        </w:rPr>
      </w:pPr>
      <w:r w:rsidRPr="00742C43">
        <w:rPr>
          <w:rFonts w:ascii="Gill Sans MT" w:hAnsi="Gill Sans MT"/>
          <w:bCs/>
          <w:i/>
          <w:iCs/>
          <w:sz w:val="24"/>
          <w:szCs w:val="24"/>
        </w:rPr>
        <w:t>the worker has returned to work; or</w:t>
      </w:r>
    </w:p>
    <w:p w14:paraId="2E12577D" w14:textId="77777777" w:rsidR="002C4250" w:rsidRPr="00742C43" w:rsidRDefault="002C4250" w:rsidP="002C4250">
      <w:pPr>
        <w:pStyle w:val="ListParagraph"/>
        <w:numPr>
          <w:ilvl w:val="0"/>
          <w:numId w:val="20"/>
        </w:numPr>
        <w:spacing w:after="240" w:line="240" w:lineRule="auto"/>
        <w:ind w:left="1418" w:hanging="709"/>
        <w:contextualSpacing w:val="0"/>
        <w:jc w:val="both"/>
        <w:rPr>
          <w:rFonts w:ascii="Gill Sans MT" w:hAnsi="Gill Sans MT"/>
          <w:bCs/>
          <w:i/>
          <w:iCs/>
          <w:sz w:val="24"/>
          <w:szCs w:val="24"/>
        </w:rPr>
      </w:pPr>
      <w:bookmarkStart w:id="2" w:name="GS132A@Gs6@Hpb@EN"/>
      <w:bookmarkEnd w:id="2"/>
      <w:r w:rsidRPr="00742C43">
        <w:rPr>
          <w:rFonts w:ascii="Gill Sans MT" w:hAnsi="Gill Sans MT"/>
          <w:bCs/>
          <w:i/>
          <w:iCs/>
          <w:sz w:val="24"/>
          <w:szCs w:val="24"/>
        </w:rPr>
        <w:t xml:space="preserve">where the Tribunal has, on a reference to the Tribunal under </w:t>
      </w:r>
      <w:hyperlink r:id="rId7" w:anchor="GS81A@EN" w:history="1">
        <w:r w:rsidRPr="00742C43">
          <w:rPr>
            <w:rFonts w:ascii="Gill Sans MT" w:hAnsi="Gill Sans MT"/>
            <w:bCs/>
            <w:i/>
            <w:iCs/>
            <w:sz w:val="24"/>
            <w:szCs w:val="24"/>
          </w:rPr>
          <w:t>section 81A</w:t>
        </w:r>
      </w:hyperlink>
      <w:r w:rsidRPr="00742C43">
        <w:rPr>
          <w:rFonts w:ascii="Gill Sans MT" w:hAnsi="Gill Sans MT"/>
          <w:bCs/>
          <w:i/>
          <w:iCs/>
          <w:sz w:val="24"/>
          <w:szCs w:val="24"/>
        </w:rPr>
        <w:t>, determined that there is a reasonably arguable case for disputing liability to pay compensation under this Act, if the Tribunal is satisfied that the proposed agreement is in the best interests of the worker; or</w:t>
      </w:r>
    </w:p>
    <w:p w14:paraId="10B323D0" w14:textId="77777777" w:rsidR="002C4250" w:rsidRPr="00742C43" w:rsidRDefault="002C4250" w:rsidP="002C4250">
      <w:pPr>
        <w:pStyle w:val="ListParagraph"/>
        <w:numPr>
          <w:ilvl w:val="0"/>
          <w:numId w:val="20"/>
        </w:numPr>
        <w:spacing w:after="240" w:line="240" w:lineRule="auto"/>
        <w:ind w:left="1418" w:hanging="709"/>
        <w:contextualSpacing w:val="0"/>
        <w:jc w:val="both"/>
        <w:rPr>
          <w:rFonts w:ascii="Gill Sans MT" w:hAnsi="Gill Sans MT"/>
          <w:bCs/>
          <w:i/>
          <w:iCs/>
          <w:sz w:val="24"/>
          <w:szCs w:val="24"/>
        </w:rPr>
      </w:pPr>
      <w:bookmarkStart w:id="3" w:name="GS132A@Gs6@Hpc@EN"/>
      <w:bookmarkEnd w:id="3"/>
      <w:r w:rsidRPr="00742C43">
        <w:rPr>
          <w:rFonts w:ascii="Gill Sans MT" w:hAnsi="Gill Sans MT"/>
          <w:bCs/>
          <w:i/>
          <w:iCs/>
          <w:sz w:val="24"/>
          <w:szCs w:val="24"/>
        </w:rPr>
        <w:t>if the Tribunal is satisfied that –</w:t>
      </w:r>
      <w:bookmarkStart w:id="4" w:name="GS132A@Gs6@Hpc@Hqi@EN"/>
      <w:bookmarkEnd w:id="4"/>
    </w:p>
    <w:p w14:paraId="4371AE64" w14:textId="07041EAC" w:rsidR="002C4250" w:rsidRPr="00742C43" w:rsidRDefault="002C4250" w:rsidP="00EB445C">
      <w:pPr>
        <w:pStyle w:val="ListParagraph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Gill Sans MT" w:hAnsi="Gill Sans MT"/>
          <w:bCs/>
          <w:i/>
          <w:iCs/>
          <w:sz w:val="24"/>
          <w:szCs w:val="24"/>
        </w:rPr>
      </w:pPr>
      <w:r w:rsidRPr="00742C43">
        <w:rPr>
          <w:rFonts w:ascii="Gill Sans MT" w:hAnsi="Gill Sans MT"/>
          <w:bCs/>
          <w:i/>
          <w:iCs/>
          <w:sz w:val="24"/>
          <w:szCs w:val="24"/>
        </w:rPr>
        <w:t>special circumstances in relation to the worker make the worker's rehabilitation, retraining or return to work impracticable; and</w:t>
      </w:r>
    </w:p>
    <w:p w14:paraId="7B3C0545" w14:textId="4862845D" w:rsidR="002C4250" w:rsidRPr="00742C43" w:rsidRDefault="002C4250" w:rsidP="00EB445C">
      <w:pPr>
        <w:pStyle w:val="ListParagraph"/>
        <w:numPr>
          <w:ilvl w:val="0"/>
          <w:numId w:val="22"/>
        </w:numPr>
        <w:spacing w:after="240" w:line="240" w:lineRule="auto"/>
        <w:contextualSpacing w:val="0"/>
        <w:jc w:val="both"/>
        <w:rPr>
          <w:rFonts w:ascii="Gill Sans MT" w:hAnsi="Gill Sans MT"/>
          <w:bCs/>
          <w:i/>
          <w:iCs/>
          <w:sz w:val="24"/>
          <w:szCs w:val="24"/>
        </w:rPr>
      </w:pPr>
      <w:bookmarkStart w:id="5" w:name="GS132A@Gs6@Hpc@Hqii@EN"/>
      <w:bookmarkEnd w:id="5"/>
      <w:r w:rsidRPr="00742C43">
        <w:rPr>
          <w:rFonts w:ascii="Gill Sans MT" w:hAnsi="Gill Sans MT"/>
          <w:bCs/>
          <w:i/>
          <w:iCs/>
          <w:sz w:val="24"/>
          <w:szCs w:val="24"/>
        </w:rPr>
        <w:t>the proposed agreement is in the best interests of the worker.</w:t>
      </w:r>
    </w:p>
    <w:p w14:paraId="03E4FD88" w14:textId="549A5736" w:rsidR="002C4250" w:rsidRDefault="0069313B" w:rsidP="0069313B">
      <w:pPr>
        <w:spacing w:after="240"/>
        <w:ind w:left="720" w:hanging="72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2.2</w:t>
      </w:r>
      <w:r>
        <w:rPr>
          <w:rFonts w:ascii="Gill Sans MT" w:hAnsi="Gill Sans MT"/>
          <w:bCs/>
          <w:sz w:val="24"/>
          <w:szCs w:val="24"/>
        </w:rPr>
        <w:tab/>
      </w:r>
      <w:r w:rsidR="002C4250">
        <w:rPr>
          <w:rFonts w:ascii="Gill Sans MT" w:hAnsi="Gill Sans MT"/>
          <w:bCs/>
          <w:sz w:val="24"/>
          <w:szCs w:val="24"/>
        </w:rPr>
        <w:t xml:space="preserve">The following documents/information </w:t>
      </w:r>
      <w:r w:rsidR="002C4250" w:rsidRPr="0041524A">
        <w:rPr>
          <w:rFonts w:ascii="Gill Sans MT" w:hAnsi="Gill Sans MT"/>
          <w:b/>
          <w:bCs/>
          <w:sz w:val="24"/>
          <w:szCs w:val="24"/>
        </w:rPr>
        <w:t>must</w:t>
      </w:r>
      <w:r w:rsidR="002C4250">
        <w:rPr>
          <w:rFonts w:ascii="Gill Sans MT" w:hAnsi="Gill Sans MT"/>
          <w:bCs/>
          <w:sz w:val="24"/>
          <w:szCs w:val="24"/>
        </w:rPr>
        <w:t xml:space="preserve"> be included with all referrals to the Tribunal pursuant to s132A(4):</w:t>
      </w:r>
    </w:p>
    <w:p w14:paraId="02DEF8A4" w14:textId="3981528D" w:rsidR="002C4250" w:rsidRDefault="0038442F" w:rsidP="0069313B">
      <w:pPr>
        <w:pStyle w:val="ListParagraph"/>
        <w:numPr>
          <w:ilvl w:val="0"/>
          <w:numId w:val="21"/>
        </w:numPr>
        <w:spacing w:after="240" w:line="240" w:lineRule="auto"/>
        <w:ind w:left="1418" w:hanging="720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the </w:t>
      </w:r>
      <w:r w:rsidR="002C4250">
        <w:rPr>
          <w:rFonts w:ascii="Gill Sans MT" w:hAnsi="Gill Sans MT"/>
          <w:bCs/>
          <w:sz w:val="24"/>
          <w:szCs w:val="24"/>
        </w:rPr>
        <w:t>claim form;</w:t>
      </w:r>
    </w:p>
    <w:p w14:paraId="3EF561D4" w14:textId="19AF8A44" w:rsidR="002C4250" w:rsidRDefault="0038442F" w:rsidP="0069313B">
      <w:pPr>
        <w:pStyle w:val="ListParagraph"/>
        <w:numPr>
          <w:ilvl w:val="0"/>
          <w:numId w:val="21"/>
        </w:numPr>
        <w:spacing w:after="240" w:line="240" w:lineRule="auto"/>
        <w:ind w:left="1418" w:hanging="720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the </w:t>
      </w:r>
      <w:r w:rsidR="002C4250">
        <w:rPr>
          <w:rFonts w:ascii="Gill Sans MT" w:hAnsi="Gill Sans MT"/>
          <w:bCs/>
          <w:sz w:val="24"/>
          <w:szCs w:val="24"/>
        </w:rPr>
        <w:t>initial workers compensation medical certificate;</w:t>
      </w:r>
    </w:p>
    <w:p w14:paraId="66B6C8F9" w14:textId="49B79306" w:rsidR="002C4250" w:rsidRPr="00171E16" w:rsidRDefault="0038442F" w:rsidP="0069313B">
      <w:pPr>
        <w:pStyle w:val="ListParagraph"/>
        <w:numPr>
          <w:ilvl w:val="0"/>
          <w:numId w:val="21"/>
        </w:numPr>
        <w:spacing w:after="240" w:line="240" w:lineRule="auto"/>
        <w:ind w:left="1418" w:hanging="720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the </w:t>
      </w:r>
      <w:r w:rsidR="002C4250">
        <w:rPr>
          <w:rFonts w:ascii="Gill Sans MT" w:hAnsi="Gill Sans MT"/>
          <w:bCs/>
          <w:sz w:val="24"/>
          <w:szCs w:val="24"/>
        </w:rPr>
        <w:t xml:space="preserve">deed of release </w:t>
      </w:r>
      <w:r>
        <w:rPr>
          <w:rFonts w:ascii="Gill Sans MT" w:hAnsi="Gill Sans MT"/>
          <w:bCs/>
          <w:sz w:val="24"/>
          <w:szCs w:val="24"/>
        </w:rPr>
        <w:t>or any other document comprising the agreement to settle;</w:t>
      </w:r>
    </w:p>
    <w:p w14:paraId="0D48E9D4" w14:textId="3EDD0FDC" w:rsidR="002C4250" w:rsidRDefault="002C4250" w:rsidP="0069313B">
      <w:pPr>
        <w:pStyle w:val="ListParagraph"/>
        <w:numPr>
          <w:ilvl w:val="0"/>
          <w:numId w:val="21"/>
        </w:numPr>
        <w:spacing w:after="240" w:line="240" w:lineRule="auto"/>
        <w:ind w:left="1418" w:hanging="720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a </w:t>
      </w:r>
      <w:r w:rsidR="00BE1591">
        <w:rPr>
          <w:rFonts w:ascii="Gill Sans MT" w:hAnsi="Gill Sans MT"/>
          <w:bCs/>
          <w:sz w:val="24"/>
          <w:szCs w:val="24"/>
        </w:rPr>
        <w:t>signed statement or affidavit by</w:t>
      </w:r>
      <w:r>
        <w:rPr>
          <w:rFonts w:ascii="Gill Sans MT" w:hAnsi="Gill Sans MT"/>
          <w:bCs/>
          <w:sz w:val="24"/>
          <w:szCs w:val="24"/>
        </w:rPr>
        <w:t xml:space="preserve"> the worker’s legal practitioner or an affidavit by the worker including the following information:</w:t>
      </w:r>
    </w:p>
    <w:p w14:paraId="413F16AC" w14:textId="7E2CDBD6" w:rsidR="002C4250" w:rsidRDefault="00BE1591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09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lastRenderedPageBreak/>
        <w:t xml:space="preserve">the </w:t>
      </w:r>
      <w:r w:rsidR="002C4250">
        <w:rPr>
          <w:rFonts w:ascii="Gill Sans MT" w:hAnsi="Gill Sans MT"/>
          <w:bCs/>
          <w:sz w:val="24"/>
          <w:szCs w:val="24"/>
        </w:rPr>
        <w:t>date of injury;</w:t>
      </w:r>
    </w:p>
    <w:p w14:paraId="2C55A837" w14:textId="5F85F310" w:rsidR="002C4250" w:rsidRDefault="00BE1591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09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the </w:t>
      </w:r>
      <w:r w:rsidR="002C4250">
        <w:rPr>
          <w:rFonts w:ascii="Gill Sans MT" w:hAnsi="Gill Sans MT"/>
          <w:bCs/>
          <w:sz w:val="24"/>
          <w:szCs w:val="24"/>
        </w:rPr>
        <w:t>date on which the claim was first made;</w:t>
      </w:r>
    </w:p>
    <w:p w14:paraId="6D2316C0" w14:textId="6D089074" w:rsidR="002C4250" w:rsidRDefault="00BE1591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09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the nature or </w:t>
      </w:r>
      <w:r w:rsidR="002C4250">
        <w:rPr>
          <w:rFonts w:ascii="Gill Sans MT" w:hAnsi="Gill Sans MT"/>
          <w:bCs/>
          <w:sz w:val="24"/>
          <w:szCs w:val="24"/>
        </w:rPr>
        <w:t>description of injury;</w:t>
      </w:r>
    </w:p>
    <w:p w14:paraId="762CBC9B" w14:textId="431E6C45" w:rsidR="002C4250" w:rsidRDefault="002C4250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09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if there have been multiple claims the date</w:t>
      </w:r>
      <w:r w:rsidR="00BE1591">
        <w:rPr>
          <w:rFonts w:ascii="Gill Sans MT" w:hAnsi="Gill Sans MT"/>
          <w:bCs/>
          <w:sz w:val="24"/>
          <w:szCs w:val="24"/>
        </w:rPr>
        <w:t>s</w:t>
      </w:r>
      <w:r>
        <w:rPr>
          <w:rFonts w:ascii="Gill Sans MT" w:hAnsi="Gill Sans MT"/>
          <w:bCs/>
          <w:sz w:val="24"/>
          <w:szCs w:val="24"/>
        </w:rPr>
        <w:t xml:space="preserve"> of injury and the date</w:t>
      </w:r>
      <w:r w:rsidR="00BE1591">
        <w:rPr>
          <w:rFonts w:ascii="Gill Sans MT" w:hAnsi="Gill Sans MT"/>
          <w:bCs/>
          <w:sz w:val="24"/>
          <w:szCs w:val="24"/>
        </w:rPr>
        <w:t>s</w:t>
      </w:r>
      <w:r>
        <w:rPr>
          <w:rFonts w:ascii="Gill Sans MT" w:hAnsi="Gill Sans MT"/>
          <w:bCs/>
          <w:sz w:val="24"/>
          <w:szCs w:val="24"/>
        </w:rPr>
        <w:t xml:space="preserve"> of claim for each claim made;</w:t>
      </w:r>
    </w:p>
    <w:p w14:paraId="2D4C8610" w14:textId="79AC8FA6" w:rsidR="002C4250" w:rsidRDefault="002C4250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09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if no relevant </w:t>
      </w:r>
      <w:r w:rsidRPr="00171E16">
        <w:rPr>
          <w:rFonts w:ascii="Gill Sans MT" w:hAnsi="Gill Sans MT"/>
          <w:bCs/>
          <w:sz w:val="24"/>
          <w:szCs w:val="24"/>
        </w:rPr>
        <w:t xml:space="preserve">letter of advice </w:t>
      </w:r>
      <w:r>
        <w:rPr>
          <w:rFonts w:ascii="Gill Sans MT" w:hAnsi="Gill Sans MT"/>
          <w:bCs/>
          <w:sz w:val="24"/>
          <w:szCs w:val="24"/>
        </w:rPr>
        <w:t xml:space="preserve">was provided to the worker </w:t>
      </w:r>
      <w:r w:rsidRPr="00171E16">
        <w:rPr>
          <w:rFonts w:ascii="Gill Sans MT" w:hAnsi="Gill Sans MT"/>
          <w:bCs/>
          <w:sz w:val="24"/>
          <w:szCs w:val="24"/>
        </w:rPr>
        <w:t>prior to the settlement being agreed</w:t>
      </w:r>
      <w:r>
        <w:rPr>
          <w:rFonts w:ascii="Gill Sans MT" w:hAnsi="Gill Sans MT"/>
          <w:bCs/>
          <w:sz w:val="24"/>
          <w:szCs w:val="24"/>
        </w:rPr>
        <w:t xml:space="preserve">, details of any oral advice given </w:t>
      </w:r>
      <w:r w:rsidR="007C16B8">
        <w:rPr>
          <w:rFonts w:ascii="Gill Sans MT" w:hAnsi="Gill Sans MT"/>
          <w:bCs/>
          <w:sz w:val="24"/>
          <w:szCs w:val="24"/>
        </w:rPr>
        <w:t xml:space="preserve">(including the date(s) of the advice) </w:t>
      </w:r>
      <w:r>
        <w:rPr>
          <w:rFonts w:ascii="Gill Sans MT" w:hAnsi="Gill Sans MT"/>
          <w:bCs/>
          <w:sz w:val="24"/>
          <w:szCs w:val="24"/>
        </w:rPr>
        <w:t>as to the following:</w:t>
      </w:r>
    </w:p>
    <w:p w14:paraId="6BBFE21C" w14:textId="57766271" w:rsidR="002C4250" w:rsidRDefault="007C16B8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t</w:t>
      </w:r>
      <w:r w:rsidR="002C4250" w:rsidRPr="00171E16">
        <w:rPr>
          <w:rFonts w:ascii="Gill Sans MT" w:hAnsi="Gill Sans MT"/>
          <w:bCs/>
          <w:sz w:val="24"/>
          <w:szCs w:val="24"/>
        </w:rPr>
        <w:t>he merits of the worker’s case</w:t>
      </w:r>
      <w:r w:rsidR="002C4250">
        <w:rPr>
          <w:rFonts w:ascii="Gill Sans MT" w:hAnsi="Gill Sans MT"/>
          <w:bCs/>
          <w:sz w:val="24"/>
          <w:szCs w:val="24"/>
        </w:rPr>
        <w:t>;</w:t>
      </w:r>
    </w:p>
    <w:p w14:paraId="3B524542" w14:textId="1489EDA3" w:rsidR="002C4250" w:rsidRDefault="007C16B8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q</w:t>
      </w:r>
      <w:r w:rsidR="002C4250">
        <w:rPr>
          <w:rFonts w:ascii="Gill Sans MT" w:hAnsi="Gill Sans MT"/>
          <w:bCs/>
          <w:sz w:val="24"/>
          <w:szCs w:val="24"/>
        </w:rPr>
        <w:t>uantum;</w:t>
      </w:r>
    </w:p>
    <w:p w14:paraId="5E37BCD5" w14:textId="41ED09DE" w:rsidR="002C4250" w:rsidRDefault="007C16B8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t</w:t>
      </w:r>
      <w:r w:rsidR="002C4250">
        <w:rPr>
          <w:rFonts w:ascii="Gill Sans MT" w:hAnsi="Gill Sans MT"/>
          <w:bCs/>
          <w:sz w:val="24"/>
          <w:szCs w:val="24"/>
        </w:rPr>
        <w:t>he consequences of settlement; and</w:t>
      </w:r>
    </w:p>
    <w:p w14:paraId="1B5418A3" w14:textId="4F7128EC" w:rsidR="002C4250" w:rsidRPr="00171E16" w:rsidRDefault="007C16B8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a</w:t>
      </w:r>
      <w:r w:rsidR="002C4250">
        <w:rPr>
          <w:rFonts w:ascii="Gill Sans MT" w:hAnsi="Gill Sans MT"/>
          <w:bCs/>
          <w:sz w:val="24"/>
          <w:szCs w:val="24"/>
        </w:rPr>
        <w:t>ny recommendation</w:t>
      </w:r>
      <w:r w:rsidR="002C4250" w:rsidRPr="00171E16">
        <w:rPr>
          <w:rFonts w:ascii="Gill Sans MT" w:hAnsi="Gill Sans MT"/>
          <w:bCs/>
          <w:sz w:val="24"/>
          <w:szCs w:val="24"/>
        </w:rPr>
        <w:t xml:space="preserve"> in respect to making or accepting the relevant final offer</w:t>
      </w:r>
      <w:r w:rsidR="002C4250">
        <w:rPr>
          <w:rFonts w:ascii="Gill Sans MT" w:hAnsi="Gill Sans MT"/>
          <w:bCs/>
          <w:sz w:val="24"/>
          <w:szCs w:val="24"/>
        </w:rPr>
        <w:t>.</w:t>
      </w:r>
    </w:p>
    <w:p w14:paraId="0441F637" w14:textId="21699D15" w:rsidR="002C4250" w:rsidRDefault="002C4250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31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the terms of the settlement agreed to;</w:t>
      </w:r>
    </w:p>
    <w:p w14:paraId="6BBC059E" w14:textId="245477BE" w:rsidR="00461F72" w:rsidRDefault="00461F72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31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confirmation that the employer will pay the workers costs of the s132A referral in accordance with s132A(13); </w:t>
      </w:r>
    </w:p>
    <w:p w14:paraId="718F5D04" w14:textId="1825375B" w:rsidR="002C4250" w:rsidRDefault="002C4250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31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which sub</w:t>
      </w:r>
      <w:r w:rsidR="0038442F">
        <w:rPr>
          <w:rFonts w:ascii="Gill Sans MT" w:hAnsi="Gill Sans MT"/>
          <w:bCs/>
          <w:sz w:val="24"/>
          <w:szCs w:val="24"/>
        </w:rPr>
        <w:t>paragraph</w:t>
      </w:r>
      <w:r>
        <w:rPr>
          <w:rFonts w:ascii="Gill Sans MT" w:hAnsi="Gill Sans MT"/>
          <w:bCs/>
          <w:sz w:val="24"/>
          <w:szCs w:val="24"/>
        </w:rPr>
        <w:t xml:space="preserve"> of s132A(6) applies to the </w:t>
      </w:r>
      <w:r w:rsidR="00BE1591">
        <w:rPr>
          <w:rFonts w:ascii="Gill Sans MT" w:hAnsi="Gill Sans MT"/>
          <w:bCs/>
          <w:sz w:val="24"/>
          <w:szCs w:val="24"/>
        </w:rPr>
        <w:t>settlement</w:t>
      </w:r>
      <w:r>
        <w:rPr>
          <w:rFonts w:ascii="Gill Sans MT" w:hAnsi="Gill Sans MT"/>
          <w:bCs/>
          <w:sz w:val="24"/>
          <w:szCs w:val="24"/>
        </w:rPr>
        <w:t>;</w:t>
      </w:r>
      <w:r w:rsidR="00BE1591">
        <w:rPr>
          <w:rFonts w:ascii="Gill Sans MT" w:hAnsi="Gill Sans MT"/>
          <w:bCs/>
          <w:sz w:val="24"/>
          <w:szCs w:val="24"/>
        </w:rPr>
        <w:t xml:space="preserve"> </w:t>
      </w:r>
    </w:p>
    <w:p w14:paraId="23F055C5" w14:textId="0171B58B" w:rsidR="002C4250" w:rsidRDefault="002C4250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31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whether the worker has returned to any work, part-time or otherwise, with the </w:t>
      </w:r>
      <w:r w:rsidR="00BE1591">
        <w:rPr>
          <w:rFonts w:ascii="Gill Sans MT" w:hAnsi="Gill Sans MT"/>
          <w:bCs/>
          <w:sz w:val="24"/>
          <w:szCs w:val="24"/>
        </w:rPr>
        <w:t>employer, or another employer and</w:t>
      </w:r>
      <w:r>
        <w:rPr>
          <w:rFonts w:ascii="Gill Sans MT" w:hAnsi="Gill Sans MT"/>
          <w:bCs/>
          <w:sz w:val="24"/>
          <w:szCs w:val="24"/>
        </w:rPr>
        <w:t xml:space="preserve"> whether they are required to resign from their employment</w:t>
      </w:r>
      <w:r w:rsidR="00BE1591">
        <w:rPr>
          <w:rFonts w:ascii="Gill Sans MT" w:hAnsi="Gill Sans MT"/>
          <w:bCs/>
          <w:sz w:val="24"/>
          <w:szCs w:val="24"/>
        </w:rPr>
        <w:t xml:space="preserve"> as a condition of the settlement</w:t>
      </w:r>
      <w:r>
        <w:rPr>
          <w:rFonts w:ascii="Gill Sans MT" w:hAnsi="Gill Sans MT"/>
          <w:bCs/>
          <w:sz w:val="24"/>
          <w:szCs w:val="24"/>
        </w:rPr>
        <w:t>;</w:t>
      </w:r>
    </w:p>
    <w:p w14:paraId="56172F05" w14:textId="09A6CCF6" w:rsidR="002C4250" w:rsidRDefault="002C4250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31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if the claim ultimately settles outside of the recommended settlement range covered in </w:t>
      </w:r>
      <w:r w:rsidR="00BE1591">
        <w:rPr>
          <w:rFonts w:ascii="Gill Sans MT" w:hAnsi="Gill Sans MT"/>
          <w:bCs/>
          <w:sz w:val="24"/>
          <w:szCs w:val="24"/>
        </w:rPr>
        <w:t>any</w:t>
      </w:r>
      <w:r>
        <w:rPr>
          <w:rFonts w:ascii="Gill Sans MT" w:hAnsi="Gill Sans MT"/>
          <w:bCs/>
          <w:sz w:val="24"/>
          <w:szCs w:val="24"/>
        </w:rPr>
        <w:t xml:space="preserve"> </w:t>
      </w:r>
      <w:r w:rsidR="00BE1591" w:rsidRPr="00BE1591">
        <w:rPr>
          <w:rFonts w:ascii="Gill Sans MT" w:hAnsi="Gill Sans MT"/>
          <w:bCs/>
          <w:sz w:val="24"/>
          <w:szCs w:val="24"/>
        </w:rPr>
        <w:t>pre-settlement advice</w:t>
      </w:r>
      <w:r>
        <w:rPr>
          <w:rFonts w:ascii="Gill Sans MT" w:hAnsi="Gill Sans MT"/>
          <w:bCs/>
          <w:sz w:val="24"/>
          <w:szCs w:val="24"/>
        </w:rPr>
        <w:t>, an explanation as to why that occurred (e.g. risks to be considered</w:t>
      </w:r>
      <w:r w:rsidR="00BE1591">
        <w:rPr>
          <w:rFonts w:ascii="Gill Sans MT" w:hAnsi="Gill Sans MT"/>
          <w:bCs/>
          <w:sz w:val="24"/>
          <w:szCs w:val="24"/>
        </w:rPr>
        <w:t>, changes in circumstances, new medical evidence</w:t>
      </w:r>
      <w:r>
        <w:rPr>
          <w:rFonts w:ascii="Gill Sans MT" w:hAnsi="Gill Sans MT"/>
          <w:bCs/>
          <w:sz w:val="24"/>
          <w:szCs w:val="24"/>
        </w:rPr>
        <w:t>);</w:t>
      </w:r>
      <w:r w:rsidR="00BE1591">
        <w:rPr>
          <w:rFonts w:ascii="Gill Sans MT" w:hAnsi="Gill Sans MT"/>
          <w:bCs/>
          <w:sz w:val="24"/>
          <w:szCs w:val="24"/>
        </w:rPr>
        <w:t xml:space="preserve"> and</w:t>
      </w:r>
    </w:p>
    <w:p w14:paraId="5273C575" w14:textId="7BFE7A9E" w:rsidR="002C4250" w:rsidRDefault="002C4250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31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a break</w:t>
      </w:r>
      <w:r w:rsidRPr="00DD5AFD">
        <w:rPr>
          <w:rFonts w:ascii="Gill Sans MT" w:hAnsi="Gill Sans MT"/>
          <w:bCs/>
          <w:sz w:val="24"/>
          <w:szCs w:val="24"/>
        </w:rPr>
        <w:t xml:space="preserve">down of all costs, disbursements and other amounts to be deducted from the settlement sum, as well as the </w:t>
      </w:r>
      <w:r w:rsidR="00BE1591">
        <w:rPr>
          <w:rFonts w:ascii="Gill Sans MT" w:hAnsi="Gill Sans MT"/>
          <w:bCs/>
          <w:sz w:val="24"/>
          <w:szCs w:val="24"/>
        </w:rPr>
        <w:t xml:space="preserve">nett </w:t>
      </w:r>
      <w:r w:rsidRPr="00DD5AFD">
        <w:rPr>
          <w:rFonts w:ascii="Gill Sans MT" w:hAnsi="Gill Sans MT"/>
          <w:bCs/>
          <w:sz w:val="24"/>
          <w:szCs w:val="24"/>
        </w:rPr>
        <w:t>amount the worker will ultimately receive</w:t>
      </w:r>
      <w:r>
        <w:rPr>
          <w:rFonts w:ascii="Gill Sans MT" w:hAnsi="Gill Sans MT"/>
          <w:bCs/>
          <w:sz w:val="24"/>
          <w:szCs w:val="24"/>
        </w:rPr>
        <w:t>.</w:t>
      </w:r>
    </w:p>
    <w:p w14:paraId="3E6AEFE6" w14:textId="77777777" w:rsidR="002C4250" w:rsidRDefault="002C4250" w:rsidP="0069313B">
      <w:pPr>
        <w:pStyle w:val="ListParagraph"/>
        <w:numPr>
          <w:ilvl w:val="0"/>
          <w:numId w:val="21"/>
        </w:numPr>
        <w:spacing w:after="240" w:line="240" w:lineRule="auto"/>
        <w:ind w:left="1418" w:hanging="720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The statement or affidavit should annex:</w:t>
      </w:r>
      <w:r w:rsidRPr="00DD0EAD">
        <w:rPr>
          <w:rFonts w:ascii="Gill Sans MT" w:hAnsi="Gill Sans MT"/>
          <w:bCs/>
          <w:sz w:val="24"/>
          <w:szCs w:val="24"/>
        </w:rPr>
        <w:t xml:space="preserve"> </w:t>
      </w:r>
    </w:p>
    <w:p w14:paraId="27820E97" w14:textId="77777777" w:rsidR="002C4250" w:rsidRDefault="002C4250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09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Any letter of advice prior to the settlement being agreed (pre-settlement advice) in respect to:</w:t>
      </w:r>
    </w:p>
    <w:p w14:paraId="43768DFF" w14:textId="32831E65" w:rsidR="002C4250" w:rsidRDefault="007C16B8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t</w:t>
      </w:r>
      <w:r w:rsidR="002C4250">
        <w:rPr>
          <w:rFonts w:ascii="Gill Sans MT" w:hAnsi="Gill Sans MT"/>
          <w:bCs/>
          <w:sz w:val="24"/>
          <w:szCs w:val="24"/>
        </w:rPr>
        <w:t>he merits of the worker’s case;</w:t>
      </w:r>
    </w:p>
    <w:p w14:paraId="363252FE" w14:textId="70627464" w:rsidR="002C4250" w:rsidRDefault="007C16B8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q</w:t>
      </w:r>
      <w:r w:rsidR="002C4250">
        <w:rPr>
          <w:rFonts w:ascii="Gill Sans MT" w:hAnsi="Gill Sans MT"/>
          <w:bCs/>
          <w:sz w:val="24"/>
          <w:szCs w:val="24"/>
        </w:rPr>
        <w:t>uantum;</w:t>
      </w:r>
    </w:p>
    <w:p w14:paraId="43A6AE91" w14:textId="129F6A6F" w:rsidR="002C4250" w:rsidRDefault="007C16B8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t</w:t>
      </w:r>
      <w:r w:rsidR="002C4250">
        <w:rPr>
          <w:rFonts w:ascii="Gill Sans MT" w:hAnsi="Gill Sans MT"/>
          <w:bCs/>
          <w:sz w:val="24"/>
          <w:szCs w:val="24"/>
        </w:rPr>
        <w:t>he consequences of settlement; and</w:t>
      </w:r>
    </w:p>
    <w:p w14:paraId="6C83D7C6" w14:textId="38C623A6" w:rsidR="002C4250" w:rsidRDefault="007C16B8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lastRenderedPageBreak/>
        <w:t>a</w:t>
      </w:r>
      <w:r w:rsidR="002C4250">
        <w:rPr>
          <w:rFonts w:ascii="Gill Sans MT" w:hAnsi="Gill Sans MT"/>
          <w:bCs/>
          <w:sz w:val="24"/>
          <w:szCs w:val="24"/>
        </w:rPr>
        <w:t>ny recommendation in respect to making or accepting the relevant final offer.</w:t>
      </w:r>
    </w:p>
    <w:p w14:paraId="18F9C4BD" w14:textId="3A0BD062" w:rsidR="002C4250" w:rsidRPr="0041524A" w:rsidRDefault="002C4250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09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If not otherwise covered in</w:t>
      </w:r>
      <w:r w:rsidRPr="0069313B">
        <w:rPr>
          <w:rFonts w:ascii="Gill Sans MT" w:hAnsi="Gill Sans MT"/>
          <w:bCs/>
          <w:sz w:val="24"/>
          <w:szCs w:val="24"/>
        </w:rPr>
        <w:t xml:space="preserve"> a </w:t>
      </w:r>
      <w:r w:rsidRPr="00171E16">
        <w:rPr>
          <w:rFonts w:ascii="Gill Sans MT" w:hAnsi="Gill Sans MT"/>
          <w:bCs/>
          <w:sz w:val="24"/>
          <w:szCs w:val="24"/>
        </w:rPr>
        <w:t>pre-settlement advice</w:t>
      </w:r>
      <w:r>
        <w:rPr>
          <w:rFonts w:ascii="Gill Sans MT" w:hAnsi="Gill Sans MT"/>
          <w:bCs/>
          <w:sz w:val="24"/>
          <w:szCs w:val="24"/>
        </w:rPr>
        <w:t xml:space="preserve">, a </w:t>
      </w:r>
      <w:r w:rsidRPr="0041524A">
        <w:rPr>
          <w:rFonts w:ascii="Gill Sans MT" w:hAnsi="Gill Sans MT"/>
          <w:bCs/>
          <w:sz w:val="24"/>
          <w:szCs w:val="24"/>
        </w:rPr>
        <w:t>letter of advice to the worker</w:t>
      </w:r>
      <w:r w:rsidR="0038442F">
        <w:rPr>
          <w:rFonts w:ascii="Gill Sans MT" w:hAnsi="Gill Sans MT"/>
          <w:bCs/>
          <w:sz w:val="24"/>
          <w:szCs w:val="24"/>
        </w:rPr>
        <w:t xml:space="preserve"> advising</w:t>
      </w:r>
      <w:r w:rsidRPr="0041524A">
        <w:rPr>
          <w:rFonts w:ascii="Gill Sans MT" w:hAnsi="Gill Sans MT"/>
          <w:bCs/>
          <w:sz w:val="24"/>
          <w:szCs w:val="24"/>
        </w:rPr>
        <w:t xml:space="preserve"> </w:t>
      </w:r>
      <w:r>
        <w:rPr>
          <w:rFonts w:ascii="Gill Sans MT" w:hAnsi="Gill Sans MT"/>
          <w:bCs/>
          <w:sz w:val="24"/>
          <w:szCs w:val="24"/>
        </w:rPr>
        <w:t>as to</w:t>
      </w:r>
      <w:r w:rsidRPr="0041524A">
        <w:rPr>
          <w:rFonts w:ascii="Gill Sans MT" w:hAnsi="Gill Sans MT"/>
          <w:bCs/>
          <w:sz w:val="24"/>
          <w:szCs w:val="24"/>
        </w:rPr>
        <w:t>:</w:t>
      </w:r>
    </w:p>
    <w:p w14:paraId="40FD393D" w14:textId="39807456" w:rsidR="002C4250" w:rsidRDefault="002C4250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 w:rsidRPr="0041524A">
        <w:rPr>
          <w:rFonts w:ascii="Gill Sans MT" w:hAnsi="Gill Sans MT"/>
          <w:bCs/>
          <w:sz w:val="24"/>
          <w:szCs w:val="24"/>
        </w:rPr>
        <w:t xml:space="preserve">any tax liability </w:t>
      </w:r>
      <w:r w:rsidR="00BE1591">
        <w:rPr>
          <w:rFonts w:ascii="Gill Sans MT" w:hAnsi="Gill Sans MT"/>
          <w:bCs/>
          <w:sz w:val="24"/>
          <w:szCs w:val="24"/>
        </w:rPr>
        <w:t>resulting from</w:t>
      </w:r>
      <w:r w:rsidRPr="0041524A">
        <w:rPr>
          <w:rFonts w:ascii="Gill Sans MT" w:hAnsi="Gill Sans MT"/>
          <w:bCs/>
          <w:sz w:val="24"/>
          <w:szCs w:val="24"/>
        </w:rPr>
        <w:t xml:space="preserve"> the settlement;</w:t>
      </w:r>
    </w:p>
    <w:p w14:paraId="4D89A3F0" w14:textId="77777777" w:rsidR="002C4250" w:rsidRDefault="002C4250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 w:rsidRPr="0041524A">
        <w:rPr>
          <w:rFonts w:ascii="Gill Sans MT" w:hAnsi="Gill Sans MT"/>
          <w:bCs/>
          <w:sz w:val="24"/>
          <w:szCs w:val="24"/>
        </w:rPr>
        <w:t>the extinguishment of all rights and entitlements to all workers compensation and damages, whether by way of release or order;</w:t>
      </w:r>
    </w:p>
    <w:p w14:paraId="346312AB" w14:textId="25BECB31" w:rsidR="002C4250" w:rsidRDefault="002C4250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 w:rsidRPr="0041524A">
        <w:rPr>
          <w:rFonts w:ascii="Gill Sans MT" w:hAnsi="Gill Sans MT"/>
          <w:bCs/>
          <w:sz w:val="24"/>
          <w:szCs w:val="24"/>
        </w:rPr>
        <w:t xml:space="preserve">any liability to repay Medicare, whether by the </w:t>
      </w:r>
      <w:r w:rsidR="00BE1591">
        <w:rPr>
          <w:rFonts w:ascii="Gill Sans MT" w:hAnsi="Gill Sans MT"/>
          <w:bCs/>
          <w:sz w:val="24"/>
          <w:szCs w:val="24"/>
        </w:rPr>
        <w:t>10 per cent</w:t>
      </w:r>
      <w:r w:rsidRPr="0041524A">
        <w:rPr>
          <w:rFonts w:ascii="Gill Sans MT" w:hAnsi="Gill Sans MT"/>
          <w:bCs/>
          <w:sz w:val="24"/>
          <w:szCs w:val="24"/>
        </w:rPr>
        <w:t xml:space="preserve"> advance payment arrangement or otherwise;</w:t>
      </w:r>
    </w:p>
    <w:p w14:paraId="57CFF3D9" w14:textId="1C8399E5" w:rsidR="002C4250" w:rsidRDefault="002C4250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 w:rsidRPr="0041524A">
        <w:rPr>
          <w:rFonts w:ascii="Gill Sans MT" w:hAnsi="Gill Sans MT"/>
          <w:bCs/>
          <w:sz w:val="24"/>
          <w:szCs w:val="24"/>
        </w:rPr>
        <w:t xml:space="preserve">any Centrelink preclusion period that </w:t>
      </w:r>
      <w:r w:rsidR="00BE1591">
        <w:rPr>
          <w:rFonts w:ascii="Gill Sans MT" w:hAnsi="Gill Sans MT"/>
          <w:bCs/>
          <w:sz w:val="24"/>
          <w:szCs w:val="24"/>
        </w:rPr>
        <w:t>will apply to</w:t>
      </w:r>
      <w:r w:rsidRPr="0041524A">
        <w:rPr>
          <w:rFonts w:ascii="Gill Sans MT" w:hAnsi="Gill Sans MT"/>
          <w:bCs/>
          <w:sz w:val="24"/>
          <w:szCs w:val="24"/>
        </w:rPr>
        <w:t xml:space="preserve"> the worker including any obligation to repay and any period into the future when the worker might not be entitled to Centrelink benefits;</w:t>
      </w:r>
    </w:p>
    <w:p w14:paraId="5FCAC1D8" w14:textId="4DE1C42F" w:rsidR="002C4250" w:rsidRDefault="002C4250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 w:rsidRPr="0041524A">
        <w:rPr>
          <w:rFonts w:ascii="Gill Sans MT" w:hAnsi="Gill Sans MT"/>
          <w:bCs/>
          <w:sz w:val="24"/>
          <w:szCs w:val="24"/>
        </w:rPr>
        <w:t>the obligation of the worker to meet any relevant My Care or National Disability Insurance Scheme (NDIS) repayments and preclusion periods which may apply to such entitlements in the future;</w:t>
      </w:r>
      <w:r w:rsidR="00BE1591">
        <w:rPr>
          <w:rFonts w:ascii="Gill Sans MT" w:hAnsi="Gill Sans MT"/>
          <w:bCs/>
          <w:sz w:val="24"/>
          <w:szCs w:val="24"/>
        </w:rPr>
        <w:t xml:space="preserve"> and</w:t>
      </w:r>
    </w:p>
    <w:p w14:paraId="170023D0" w14:textId="56E91D1F" w:rsidR="002C4250" w:rsidRPr="00171E16" w:rsidRDefault="002C4250" w:rsidP="0069313B">
      <w:pPr>
        <w:pStyle w:val="ListParagraph"/>
        <w:numPr>
          <w:ilvl w:val="2"/>
          <w:numId w:val="21"/>
        </w:numPr>
        <w:spacing w:after="240" w:line="240" w:lineRule="auto"/>
        <w:ind w:left="2835" w:hanging="708"/>
        <w:contextualSpacing w:val="0"/>
        <w:jc w:val="both"/>
        <w:rPr>
          <w:rFonts w:ascii="Gill Sans MT" w:hAnsi="Gill Sans MT"/>
          <w:bCs/>
          <w:sz w:val="24"/>
          <w:szCs w:val="24"/>
        </w:rPr>
      </w:pPr>
      <w:r w:rsidRPr="0041524A">
        <w:rPr>
          <w:rFonts w:ascii="Gill Sans MT" w:hAnsi="Gill Sans MT"/>
          <w:bCs/>
          <w:sz w:val="24"/>
          <w:szCs w:val="24"/>
        </w:rPr>
        <w:t>advice in relation to the worker’s entitlement, if any, to a lump sum pay</w:t>
      </w:r>
      <w:r w:rsidR="00BE1591">
        <w:rPr>
          <w:rFonts w:ascii="Gill Sans MT" w:hAnsi="Gill Sans MT"/>
          <w:bCs/>
          <w:sz w:val="24"/>
          <w:szCs w:val="24"/>
        </w:rPr>
        <w:t>ment pursuant to s71 of the Act.</w:t>
      </w:r>
    </w:p>
    <w:p w14:paraId="7B6AA433" w14:textId="24527784" w:rsidR="002C4250" w:rsidRDefault="002C4250" w:rsidP="0069313B">
      <w:pPr>
        <w:pStyle w:val="ListParagraph"/>
        <w:numPr>
          <w:ilvl w:val="0"/>
          <w:numId w:val="21"/>
        </w:numPr>
        <w:spacing w:after="240" w:line="240" w:lineRule="auto"/>
        <w:ind w:left="1418" w:hanging="720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 xml:space="preserve">Where a statement or affidavit is provided by the </w:t>
      </w:r>
      <w:r w:rsidRPr="00171E16">
        <w:rPr>
          <w:rFonts w:ascii="Gill Sans MT" w:hAnsi="Gill Sans MT"/>
          <w:bCs/>
          <w:sz w:val="24"/>
          <w:szCs w:val="24"/>
        </w:rPr>
        <w:t xml:space="preserve">worker’s legal practitioner </w:t>
      </w:r>
      <w:r>
        <w:rPr>
          <w:rFonts w:ascii="Gill Sans MT" w:hAnsi="Gill Sans MT"/>
          <w:bCs/>
          <w:sz w:val="24"/>
          <w:szCs w:val="24"/>
        </w:rPr>
        <w:t>a signed statement or affidavit by the worker confirming that:</w:t>
      </w:r>
    </w:p>
    <w:p w14:paraId="452A225D" w14:textId="1FF9096A" w:rsidR="002C4250" w:rsidRDefault="002C4250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09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the worker has received the letter of advice and that they understand it;</w:t>
      </w:r>
      <w:r w:rsidR="00BE1591">
        <w:rPr>
          <w:rFonts w:ascii="Gill Sans MT" w:hAnsi="Gill Sans MT"/>
          <w:bCs/>
          <w:sz w:val="24"/>
          <w:szCs w:val="24"/>
        </w:rPr>
        <w:t xml:space="preserve"> and</w:t>
      </w:r>
    </w:p>
    <w:p w14:paraId="7C752651" w14:textId="77777777" w:rsidR="002C4250" w:rsidRDefault="002C4250" w:rsidP="0069313B">
      <w:pPr>
        <w:pStyle w:val="ListParagraph"/>
        <w:numPr>
          <w:ilvl w:val="1"/>
          <w:numId w:val="21"/>
        </w:numPr>
        <w:spacing w:after="240" w:line="240" w:lineRule="auto"/>
        <w:ind w:left="2127" w:hanging="709"/>
        <w:contextualSpacing w:val="0"/>
        <w:jc w:val="both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the worker wishes to settle their claim for the amount agreed.</w:t>
      </w:r>
    </w:p>
    <w:p w14:paraId="059CEA31" w14:textId="77777777" w:rsidR="00BE1591" w:rsidRDefault="00BE1591" w:rsidP="00411FB8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3F6189B7" w14:textId="04ECA5AF" w:rsidR="00411FB8" w:rsidRDefault="002C4250" w:rsidP="00411FB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Richard Grueber</w:t>
      </w:r>
    </w:p>
    <w:p w14:paraId="1BECF4C5" w14:textId="77777777" w:rsidR="00411FB8" w:rsidRDefault="002C4250" w:rsidP="00411FB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Acting </w:t>
      </w:r>
      <w:r w:rsidR="00411FB8">
        <w:rPr>
          <w:rFonts w:ascii="Gill Sans MT" w:hAnsi="Gill Sans MT"/>
          <w:sz w:val="24"/>
          <w:szCs w:val="24"/>
        </w:rPr>
        <w:t>President – TASCAT</w:t>
      </w:r>
    </w:p>
    <w:p w14:paraId="6C76E163" w14:textId="5ABA305E" w:rsidR="00411FB8" w:rsidRDefault="0069313B" w:rsidP="00411FB8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7 December 2023</w:t>
      </w:r>
    </w:p>
    <w:sectPr w:rsidR="00411FB8" w:rsidSect="00EE0197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94D9" w14:textId="77777777" w:rsidR="006C606E" w:rsidRDefault="006C606E" w:rsidP="00EE0197">
      <w:pPr>
        <w:spacing w:after="0" w:line="240" w:lineRule="auto"/>
      </w:pPr>
      <w:r>
        <w:separator/>
      </w:r>
    </w:p>
  </w:endnote>
  <w:endnote w:type="continuationSeparator" w:id="0">
    <w:p w14:paraId="49AD1FD9" w14:textId="77777777" w:rsidR="006C606E" w:rsidRDefault="006C606E" w:rsidP="00EE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2B4C" w14:textId="77777777" w:rsidR="006C606E" w:rsidRDefault="006C606E" w:rsidP="00EE0197">
      <w:pPr>
        <w:spacing w:after="0" w:line="240" w:lineRule="auto"/>
      </w:pPr>
      <w:r>
        <w:separator/>
      </w:r>
    </w:p>
  </w:footnote>
  <w:footnote w:type="continuationSeparator" w:id="0">
    <w:p w14:paraId="2E30EBF2" w14:textId="77777777" w:rsidR="006C606E" w:rsidRDefault="006C606E" w:rsidP="00EE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  <w:sz w:val="24"/>
      </w:rPr>
      <w:id w:val="-776323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916768" w14:textId="5B37D12D" w:rsidR="00EE0197" w:rsidRPr="00EE0197" w:rsidRDefault="00EE0197">
        <w:pPr>
          <w:pStyle w:val="Header"/>
          <w:jc w:val="center"/>
          <w:rPr>
            <w:rFonts w:ascii="Gill Sans MT" w:hAnsi="Gill Sans MT"/>
            <w:sz w:val="24"/>
          </w:rPr>
        </w:pPr>
        <w:r w:rsidRPr="00EE0197">
          <w:rPr>
            <w:rFonts w:ascii="Gill Sans MT" w:hAnsi="Gill Sans MT"/>
            <w:sz w:val="24"/>
          </w:rPr>
          <w:fldChar w:fldCharType="begin"/>
        </w:r>
        <w:r w:rsidRPr="00EE0197">
          <w:rPr>
            <w:rFonts w:ascii="Gill Sans MT" w:hAnsi="Gill Sans MT"/>
            <w:sz w:val="24"/>
          </w:rPr>
          <w:instrText xml:space="preserve"> PAGE   \* MERGEFORMAT </w:instrText>
        </w:r>
        <w:r w:rsidRPr="00EE0197">
          <w:rPr>
            <w:rFonts w:ascii="Gill Sans MT" w:hAnsi="Gill Sans MT"/>
            <w:sz w:val="24"/>
          </w:rPr>
          <w:fldChar w:fldCharType="separate"/>
        </w:r>
        <w:r w:rsidR="00461F72">
          <w:rPr>
            <w:rFonts w:ascii="Gill Sans MT" w:hAnsi="Gill Sans MT"/>
            <w:noProof/>
            <w:sz w:val="24"/>
          </w:rPr>
          <w:t>3</w:t>
        </w:r>
        <w:r w:rsidRPr="00EE0197">
          <w:rPr>
            <w:rFonts w:ascii="Gill Sans MT" w:hAnsi="Gill Sans MT"/>
            <w:noProof/>
            <w:sz w:val="24"/>
          </w:rPr>
          <w:fldChar w:fldCharType="end"/>
        </w:r>
      </w:p>
    </w:sdtContent>
  </w:sdt>
  <w:p w14:paraId="5F38C74A" w14:textId="77777777" w:rsidR="00EE0197" w:rsidRDefault="00EE0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DEED" w14:textId="77777777" w:rsidR="00EE0197" w:rsidRDefault="00EE0197" w:rsidP="00EE0197">
    <w:pPr>
      <w:pStyle w:val="Header"/>
    </w:pPr>
    <w:r>
      <w:rPr>
        <w:rFonts w:ascii="Gill Sans MT" w:hAnsi="Gill Sans MT"/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458DB06B" wp14:editId="67B5C9CB">
          <wp:simplePos x="0" y="0"/>
          <wp:positionH relativeFrom="margin">
            <wp:posOffset>-253491</wp:posOffset>
          </wp:positionH>
          <wp:positionV relativeFrom="margin">
            <wp:posOffset>-716337</wp:posOffset>
          </wp:positionV>
          <wp:extent cx="2908300" cy="1007745"/>
          <wp:effectExtent l="0" t="0" r="635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08"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48D"/>
    <w:multiLevelType w:val="multilevel"/>
    <w:tmpl w:val="966A08A6"/>
    <w:lvl w:ilvl="0">
      <w:start w:val="4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1CAA49C7"/>
    <w:multiLevelType w:val="hybridMultilevel"/>
    <w:tmpl w:val="5CF8F4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3325FF"/>
    <w:multiLevelType w:val="hybridMultilevel"/>
    <w:tmpl w:val="9294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950FD"/>
    <w:multiLevelType w:val="hybridMultilevel"/>
    <w:tmpl w:val="E7CE4E70"/>
    <w:lvl w:ilvl="0" w:tplc="D3B8CA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FD7256"/>
    <w:multiLevelType w:val="hybridMultilevel"/>
    <w:tmpl w:val="3FF61FB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2446"/>
    <w:multiLevelType w:val="multilevel"/>
    <w:tmpl w:val="9E9E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DE028D4"/>
    <w:multiLevelType w:val="multilevel"/>
    <w:tmpl w:val="0F1277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2A0FDA"/>
    <w:multiLevelType w:val="hybridMultilevel"/>
    <w:tmpl w:val="AED8197A"/>
    <w:lvl w:ilvl="0" w:tplc="0C090017">
      <w:start w:val="1"/>
      <w:numFmt w:val="lowerLetter"/>
      <w:lvlText w:val="%1)"/>
      <w:lvlJc w:val="left"/>
      <w:pPr>
        <w:ind w:left="2007" w:hanging="360"/>
      </w:pPr>
    </w:lvl>
    <w:lvl w:ilvl="1" w:tplc="0C090019" w:tentative="1">
      <w:start w:val="1"/>
      <w:numFmt w:val="lowerLetter"/>
      <w:lvlText w:val="%2."/>
      <w:lvlJc w:val="left"/>
      <w:pPr>
        <w:ind w:left="2727" w:hanging="360"/>
      </w:pPr>
    </w:lvl>
    <w:lvl w:ilvl="2" w:tplc="0C09001B" w:tentative="1">
      <w:start w:val="1"/>
      <w:numFmt w:val="lowerRoman"/>
      <w:lvlText w:val="%3."/>
      <w:lvlJc w:val="right"/>
      <w:pPr>
        <w:ind w:left="3447" w:hanging="180"/>
      </w:pPr>
    </w:lvl>
    <w:lvl w:ilvl="3" w:tplc="0C09000F" w:tentative="1">
      <w:start w:val="1"/>
      <w:numFmt w:val="decimal"/>
      <w:lvlText w:val="%4."/>
      <w:lvlJc w:val="left"/>
      <w:pPr>
        <w:ind w:left="4167" w:hanging="360"/>
      </w:pPr>
    </w:lvl>
    <w:lvl w:ilvl="4" w:tplc="0C090019" w:tentative="1">
      <w:start w:val="1"/>
      <w:numFmt w:val="lowerLetter"/>
      <w:lvlText w:val="%5."/>
      <w:lvlJc w:val="left"/>
      <w:pPr>
        <w:ind w:left="4887" w:hanging="360"/>
      </w:pPr>
    </w:lvl>
    <w:lvl w:ilvl="5" w:tplc="0C09001B" w:tentative="1">
      <w:start w:val="1"/>
      <w:numFmt w:val="lowerRoman"/>
      <w:lvlText w:val="%6."/>
      <w:lvlJc w:val="right"/>
      <w:pPr>
        <w:ind w:left="5607" w:hanging="180"/>
      </w:pPr>
    </w:lvl>
    <w:lvl w:ilvl="6" w:tplc="0C09000F" w:tentative="1">
      <w:start w:val="1"/>
      <w:numFmt w:val="decimal"/>
      <w:lvlText w:val="%7."/>
      <w:lvlJc w:val="left"/>
      <w:pPr>
        <w:ind w:left="6327" w:hanging="360"/>
      </w:pPr>
    </w:lvl>
    <w:lvl w:ilvl="7" w:tplc="0C090019" w:tentative="1">
      <w:start w:val="1"/>
      <w:numFmt w:val="lowerLetter"/>
      <w:lvlText w:val="%8."/>
      <w:lvlJc w:val="left"/>
      <w:pPr>
        <w:ind w:left="7047" w:hanging="360"/>
      </w:pPr>
    </w:lvl>
    <w:lvl w:ilvl="8" w:tplc="0C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37CA03BD"/>
    <w:multiLevelType w:val="hybridMultilevel"/>
    <w:tmpl w:val="84180FCE"/>
    <w:lvl w:ilvl="0" w:tplc="FFFFFFFF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460ECB"/>
    <w:multiLevelType w:val="hybridMultilevel"/>
    <w:tmpl w:val="493AAA20"/>
    <w:lvl w:ilvl="0" w:tplc="D86E8846">
      <w:start w:val="1"/>
      <w:numFmt w:val="lowerLetter"/>
      <w:lvlText w:val="(%1)"/>
      <w:lvlJc w:val="left"/>
      <w:pPr>
        <w:ind w:left="927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335E02"/>
    <w:multiLevelType w:val="hybridMultilevel"/>
    <w:tmpl w:val="9328FC74"/>
    <w:lvl w:ilvl="0" w:tplc="0C09001B">
      <w:start w:val="1"/>
      <w:numFmt w:val="lowerRoman"/>
      <w:lvlText w:val="%1."/>
      <w:lvlJc w:val="right"/>
      <w:pPr>
        <w:ind w:left="1860" w:hanging="360"/>
      </w:pPr>
    </w:lvl>
    <w:lvl w:ilvl="1" w:tplc="0C090019" w:tentative="1">
      <w:start w:val="1"/>
      <w:numFmt w:val="lowerLetter"/>
      <w:lvlText w:val="%2."/>
      <w:lvlJc w:val="left"/>
      <w:pPr>
        <w:ind w:left="2580" w:hanging="360"/>
      </w:pPr>
    </w:lvl>
    <w:lvl w:ilvl="2" w:tplc="0C09001B" w:tentative="1">
      <w:start w:val="1"/>
      <w:numFmt w:val="lowerRoman"/>
      <w:lvlText w:val="%3."/>
      <w:lvlJc w:val="right"/>
      <w:pPr>
        <w:ind w:left="3300" w:hanging="180"/>
      </w:pPr>
    </w:lvl>
    <w:lvl w:ilvl="3" w:tplc="0C09000F" w:tentative="1">
      <w:start w:val="1"/>
      <w:numFmt w:val="decimal"/>
      <w:lvlText w:val="%4."/>
      <w:lvlJc w:val="left"/>
      <w:pPr>
        <w:ind w:left="4020" w:hanging="360"/>
      </w:pPr>
    </w:lvl>
    <w:lvl w:ilvl="4" w:tplc="0C090019" w:tentative="1">
      <w:start w:val="1"/>
      <w:numFmt w:val="lowerLetter"/>
      <w:lvlText w:val="%5."/>
      <w:lvlJc w:val="left"/>
      <w:pPr>
        <w:ind w:left="4740" w:hanging="360"/>
      </w:pPr>
    </w:lvl>
    <w:lvl w:ilvl="5" w:tplc="0C09001B" w:tentative="1">
      <w:start w:val="1"/>
      <w:numFmt w:val="lowerRoman"/>
      <w:lvlText w:val="%6."/>
      <w:lvlJc w:val="right"/>
      <w:pPr>
        <w:ind w:left="5460" w:hanging="180"/>
      </w:pPr>
    </w:lvl>
    <w:lvl w:ilvl="6" w:tplc="0C09000F" w:tentative="1">
      <w:start w:val="1"/>
      <w:numFmt w:val="decimal"/>
      <w:lvlText w:val="%7."/>
      <w:lvlJc w:val="left"/>
      <w:pPr>
        <w:ind w:left="6180" w:hanging="360"/>
      </w:pPr>
    </w:lvl>
    <w:lvl w:ilvl="7" w:tplc="0C090019" w:tentative="1">
      <w:start w:val="1"/>
      <w:numFmt w:val="lowerLetter"/>
      <w:lvlText w:val="%8."/>
      <w:lvlJc w:val="left"/>
      <w:pPr>
        <w:ind w:left="6900" w:hanging="360"/>
      </w:pPr>
    </w:lvl>
    <w:lvl w:ilvl="8" w:tplc="0C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 w15:restartNumberingAfterBreak="0">
    <w:nsid w:val="41291134"/>
    <w:multiLevelType w:val="multilevel"/>
    <w:tmpl w:val="34C6E5A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773285"/>
    <w:multiLevelType w:val="hybridMultilevel"/>
    <w:tmpl w:val="B630C30A"/>
    <w:lvl w:ilvl="0" w:tplc="90A2FB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54229"/>
    <w:multiLevelType w:val="hybridMultilevel"/>
    <w:tmpl w:val="DE52B27C"/>
    <w:lvl w:ilvl="0" w:tplc="DCC62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63DCC"/>
    <w:multiLevelType w:val="hybridMultilevel"/>
    <w:tmpl w:val="03C4D9D6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496B68"/>
    <w:multiLevelType w:val="hybridMultilevel"/>
    <w:tmpl w:val="84180FCE"/>
    <w:lvl w:ilvl="0" w:tplc="0F1E70D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40A17E9"/>
    <w:multiLevelType w:val="hybridMultilevel"/>
    <w:tmpl w:val="AC4C6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96329"/>
    <w:multiLevelType w:val="hybridMultilevel"/>
    <w:tmpl w:val="8F841D66"/>
    <w:lvl w:ilvl="0" w:tplc="0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691F100C"/>
    <w:multiLevelType w:val="hybridMultilevel"/>
    <w:tmpl w:val="9B6E5EB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5F0BB0"/>
    <w:multiLevelType w:val="multilevel"/>
    <w:tmpl w:val="1D8E45D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9842CC"/>
    <w:multiLevelType w:val="multilevel"/>
    <w:tmpl w:val="9C481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771478"/>
    <w:multiLevelType w:val="hybridMultilevel"/>
    <w:tmpl w:val="05247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8183153">
    <w:abstractNumId w:val="9"/>
  </w:num>
  <w:num w:numId="2" w16cid:durableId="942961282">
    <w:abstractNumId w:val="17"/>
  </w:num>
  <w:num w:numId="3" w16cid:durableId="357123338">
    <w:abstractNumId w:val="13"/>
  </w:num>
  <w:num w:numId="4" w16cid:durableId="839002450">
    <w:abstractNumId w:val="18"/>
  </w:num>
  <w:num w:numId="5" w16cid:durableId="1913855279">
    <w:abstractNumId w:val="5"/>
  </w:num>
  <w:num w:numId="6" w16cid:durableId="464277617">
    <w:abstractNumId w:val="21"/>
  </w:num>
  <w:num w:numId="7" w16cid:durableId="261959746">
    <w:abstractNumId w:val="16"/>
  </w:num>
  <w:num w:numId="8" w16cid:durableId="1500195677">
    <w:abstractNumId w:val="20"/>
  </w:num>
  <w:num w:numId="9" w16cid:durableId="1136921038">
    <w:abstractNumId w:val="6"/>
  </w:num>
  <w:num w:numId="10" w16cid:durableId="1589384937">
    <w:abstractNumId w:val="19"/>
  </w:num>
  <w:num w:numId="11" w16cid:durableId="1346252858">
    <w:abstractNumId w:val="10"/>
  </w:num>
  <w:num w:numId="12" w16cid:durableId="1649284189">
    <w:abstractNumId w:val="4"/>
  </w:num>
  <w:num w:numId="13" w16cid:durableId="689182193">
    <w:abstractNumId w:val="1"/>
  </w:num>
  <w:num w:numId="14" w16cid:durableId="523519782">
    <w:abstractNumId w:val="0"/>
  </w:num>
  <w:num w:numId="15" w16cid:durableId="895358810">
    <w:abstractNumId w:val="3"/>
  </w:num>
  <w:num w:numId="16" w16cid:durableId="105930031">
    <w:abstractNumId w:val="7"/>
  </w:num>
  <w:num w:numId="17" w16cid:durableId="2083023287">
    <w:abstractNumId w:val="11"/>
  </w:num>
  <w:num w:numId="18" w16cid:durableId="433986377">
    <w:abstractNumId w:val="14"/>
  </w:num>
  <w:num w:numId="19" w16cid:durableId="694036037">
    <w:abstractNumId w:val="15"/>
  </w:num>
  <w:num w:numId="20" w16cid:durableId="886139026">
    <w:abstractNumId w:val="12"/>
  </w:num>
  <w:num w:numId="21" w16cid:durableId="349451234">
    <w:abstractNumId w:val="2"/>
  </w:num>
  <w:num w:numId="22" w16cid:durableId="8512586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944"/>
    <w:rsid w:val="0002385C"/>
    <w:rsid w:val="00024CC4"/>
    <w:rsid w:val="00030804"/>
    <w:rsid w:val="0004178F"/>
    <w:rsid w:val="000536D9"/>
    <w:rsid w:val="0006707D"/>
    <w:rsid w:val="000C24BF"/>
    <w:rsid w:val="00136270"/>
    <w:rsid w:val="00193A3F"/>
    <w:rsid w:val="001D2971"/>
    <w:rsid w:val="002454E8"/>
    <w:rsid w:val="00283A07"/>
    <w:rsid w:val="0028666E"/>
    <w:rsid w:val="002C4250"/>
    <w:rsid w:val="00317167"/>
    <w:rsid w:val="0038442F"/>
    <w:rsid w:val="003D6D92"/>
    <w:rsid w:val="00411FB8"/>
    <w:rsid w:val="004439A8"/>
    <w:rsid w:val="00461F72"/>
    <w:rsid w:val="0048208F"/>
    <w:rsid w:val="00486212"/>
    <w:rsid w:val="004D3551"/>
    <w:rsid w:val="004E4CB6"/>
    <w:rsid w:val="005B657E"/>
    <w:rsid w:val="005E0C39"/>
    <w:rsid w:val="00663944"/>
    <w:rsid w:val="0069313B"/>
    <w:rsid w:val="006A1BCB"/>
    <w:rsid w:val="006C606E"/>
    <w:rsid w:val="007A760E"/>
    <w:rsid w:val="007C16B8"/>
    <w:rsid w:val="00AE1F01"/>
    <w:rsid w:val="00B01497"/>
    <w:rsid w:val="00B53028"/>
    <w:rsid w:val="00B83BFB"/>
    <w:rsid w:val="00B850AA"/>
    <w:rsid w:val="00BC454A"/>
    <w:rsid w:val="00BD46A3"/>
    <w:rsid w:val="00BE1591"/>
    <w:rsid w:val="00BF7ECB"/>
    <w:rsid w:val="00C62EB3"/>
    <w:rsid w:val="00EB445C"/>
    <w:rsid w:val="00EE0197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3622CA"/>
  <w15:chartTrackingRefBased/>
  <w15:docId w15:val="{B19C3054-C598-4EB9-9514-45687647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94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6394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663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7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97"/>
  </w:style>
  <w:style w:type="paragraph" w:styleId="Footer">
    <w:name w:val="footer"/>
    <w:basedOn w:val="Normal"/>
    <w:link w:val="FooterChar"/>
    <w:uiPriority w:val="99"/>
    <w:unhideWhenUsed/>
    <w:rsid w:val="00EE0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97"/>
  </w:style>
  <w:style w:type="paragraph" w:styleId="BalloonText">
    <w:name w:val="Balloon Text"/>
    <w:basedOn w:val="Normal"/>
    <w:link w:val="BalloonTextChar"/>
    <w:uiPriority w:val="99"/>
    <w:semiHidden/>
    <w:unhideWhenUsed/>
    <w:rsid w:val="0002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tas.gov.au/view/html/inforce/2022-12-12/act-1988-004?query=((PrintType%3D%22act.reprint%22+AND+Amending%3C%3E%22pure%22+AND+PitValid%3D%40pointInTime(20221212000000))+OR+(PrintType%3D%22act.reprint%22+AND+Amending%3D%22pure%22+AND+PitValid%3D%40pointInTime(20221212000000))+OR+(PrintType%3D%22reprint%22+AND+Amending%3C%3E%22pure%22+AND+PitValid%3D%40pointInTime(20221212000000))+OR+(PrintType%3D%22reprint%22+AND+Amending%3D%22pure%22+AND+PitValid%3D%40pointInTime(20221212000000)))+AND+Title%3D(%22Workers%22+AND+%22Rehabilitation%22+AND+%22and%22+AND+%22Compensation%22+AND+%22Act%22+AND+%221988%22)&amp;dQuery=Document+Types%3D%22%3Cspan+class%3D%27dq-highlight%27%3EActs%3C%2Fspan%3E%2C+%3Cspan+class%3D%27dq-highlight%27%3EAmending+Acts%3C%2Fspan%3E%2C+%3Cspan+class%3D%27dq-highlight%27%3ESRs%3C%2Fspan%3E%2C+%3Cspan+class%3D%27dq-highlight%27%3EAmending+SRs%3C%2Fspan%3E%22%2C+Search+In%3D%22%3Cspan+class%3D%27dq-highlight%27%3ETitle%3C%2Fspan%3E%22%2C+All+Words%3D%22%3Cspan+class%3D%27dq-highlight%27%3EWorkers+Rehabilitation+and+Compensation+Act+1988%3C%2Fspan%3E%22%2C+Point+In+Time%3D%22%3Cspan+class%3D%27dq-highlight%27%3E12%2F12%2F2022%3C%2Fspan%3E%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Clues, Alison</dc:creator>
  <cp:keywords/>
  <dc:description/>
  <cp:lastModifiedBy>Marriott, Eve</cp:lastModifiedBy>
  <cp:revision>2</cp:revision>
  <cp:lastPrinted>2023-12-07T00:34:00Z</cp:lastPrinted>
  <dcterms:created xsi:type="dcterms:W3CDTF">2023-12-07T03:05:00Z</dcterms:created>
  <dcterms:modified xsi:type="dcterms:W3CDTF">2023-12-07T03:05:00Z</dcterms:modified>
</cp:coreProperties>
</file>