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6C" w:rsidRDefault="00C25C6C" w:rsidP="00C25C6C">
      <w:pPr>
        <w:jc w:val="right"/>
        <w:rPr>
          <w:rFonts w:ascii="Gill Sans MT" w:hAnsi="Gill Sans MT"/>
          <w:b/>
        </w:rPr>
      </w:pPr>
      <w:r w:rsidRPr="000931B0">
        <w:rPr>
          <w:rFonts w:ascii="Gill Sans MT" w:hAnsi="Gill Sans MT"/>
          <w:b/>
          <w:noProof/>
          <w:lang w:val="en-GB" w:eastAsia="en-GB"/>
        </w:rPr>
        <w:drawing>
          <wp:inline distT="0" distB="0" distL="0" distR="0" wp14:anchorId="418DC938" wp14:editId="776D3624">
            <wp:extent cx="1767840" cy="757391"/>
            <wp:effectExtent l="0" t="0" r="3810" b="5080"/>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6435" cy="761073"/>
                    </a:xfrm>
                    <a:prstGeom prst="rect">
                      <a:avLst/>
                    </a:prstGeom>
                    <a:noFill/>
                    <a:ln>
                      <a:noFill/>
                    </a:ln>
                  </pic:spPr>
                </pic:pic>
              </a:graphicData>
            </a:graphic>
          </wp:inline>
        </w:drawing>
      </w:r>
    </w:p>
    <w:p w:rsidR="00567287" w:rsidRPr="00814850" w:rsidRDefault="00814850" w:rsidP="00567287">
      <w:pPr>
        <w:pBdr>
          <w:bottom w:val="single" w:sz="4" w:space="1" w:color="auto"/>
        </w:pBdr>
        <w:rPr>
          <w:rFonts w:ascii="Gill Sans MT" w:hAnsi="Gill Sans MT"/>
          <w:b/>
          <w:sz w:val="44"/>
          <w:szCs w:val="32"/>
        </w:rPr>
      </w:pPr>
      <w:r w:rsidRPr="00814850">
        <w:rPr>
          <w:rFonts w:ascii="Gill Sans MT" w:hAnsi="Gill Sans MT"/>
          <w:b/>
          <w:sz w:val="44"/>
          <w:szCs w:val="32"/>
        </w:rPr>
        <w:t xml:space="preserve">RPS </w:t>
      </w:r>
      <w:r w:rsidR="00567287" w:rsidRPr="00814850">
        <w:rPr>
          <w:rFonts w:ascii="Gill Sans MT" w:hAnsi="Gill Sans MT"/>
          <w:b/>
          <w:sz w:val="44"/>
          <w:szCs w:val="32"/>
        </w:rPr>
        <w:t>PRACTICE DIRECTION 1</w:t>
      </w:r>
      <w:r>
        <w:rPr>
          <w:rFonts w:ascii="Gill Sans MT" w:hAnsi="Gill Sans MT"/>
          <w:b/>
          <w:sz w:val="44"/>
          <w:szCs w:val="32"/>
        </w:rPr>
        <w:t xml:space="preserve"> – Filing Proceedings</w:t>
      </w:r>
      <w:r w:rsidR="00DB5A42">
        <w:rPr>
          <w:rFonts w:ascii="Gill Sans MT" w:hAnsi="Gill Sans MT"/>
          <w:b/>
          <w:sz w:val="44"/>
          <w:szCs w:val="32"/>
        </w:rPr>
        <w:t xml:space="preserve"> and Representation</w:t>
      </w:r>
      <w:r w:rsidR="00DC0975">
        <w:rPr>
          <w:rFonts w:ascii="Gill Sans MT" w:hAnsi="Gill Sans MT"/>
          <w:b/>
          <w:sz w:val="44"/>
          <w:szCs w:val="32"/>
        </w:rPr>
        <w:t xml:space="preserve"> Notices</w:t>
      </w:r>
      <w:bookmarkStart w:id="0" w:name="_GoBack"/>
      <w:bookmarkEnd w:id="0"/>
    </w:p>
    <w:p w:rsidR="00567287" w:rsidRDefault="00567287" w:rsidP="00567287">
      <w:pPr>
        <w:jc w:val="both"/>
        <w:rPr>
          <w:rFonts w:ascii="Gill Sans MT" w:hAnsi="Gill Sans MT"/>
          <w:b/>
        </w:rPr>
      </w:pPr>
    </w:p>
    <w:p w:rsidR="00365A30" w:rsidRDefault="00365A30" w:rsidP="00567287">
      <w:pPr>
        <w:spacing w:before="120" w:after="240"/>
        <w:jc w:val="both"/>
        <w:rPr>
          <w:rFonts w:ascii="Gill Sans MT" w:hAnsi="Gill Sans MT"/>
        </w:rPr>
      </w:pPr>
      <w:r>
        <w:rPr>
          <w:rFonts w:ascii="Gill Sans MT" w:hAnsi="Gill Sans MT"/>
        </w:rPr>
        <w:t xml:space="preserve">These directions are made pursuant </w:t>
      </w:r>
      <w:r w:rsidR="00C3440D">
        <w:rPr>
          <w:rFonts w:ascii="Gill Sans MT" w:hAnsi="Gill Sans MT"/>
        </w:rPr>
        <w:t xml:space="preserve">to Section 93 of the </w:t>
      </w:r>
      <w:r w:rsidR="00C3440D" w:rsidRPr="00B671B6">
        <w:rPr>
          <w:rFonts w:ascii="Gill Sans MT" w:hAnsi="Gill Sans MT"/>
          <w:i/>
        </w:rPr>
        <w:t xml:space="preserve">Tasmanian Civil and </w:t>
      </w:r>
      <w:r w:rsidR="00F119CA">
        <w:rPr>
          <w:rFonts w:ascii="Gill Sans MT" w:hAnsi="Gill Sans MT"/>
          <w:i/>
        </w:rPr>
        <w:t>Administrative Tribunal Act 2020</w:t>
      </w:r>
      <w:r w:rsidR="00C3440D" w:rsidRPr="00B671B6">
        <w:rPr>
          <w:rFonts w:ascii="Gill Sans MT" w:hAnsi="Gill Sans MT"/>
          <w:i/>
        </w:rPr>
        <w:t>.</w:t>
      </w:r>
    </w:p>
    <w:p w:rsidR="008509BD" w:rsidRPr="008509BD" w:rsidRDefault="008509BD" w:rsidP="007F1AA1">
      <w:pPr>
        <w:spacing w:before="120" w:after="240"/>
        <w:ind w:left="567" w:hanging="567"/>
        <w:jc w:val="both"/>
        <w:rPr>
          <w:rFonts w:ascii="Gill Sans MT" w:hAnsi="Gill Sans MT"/>
        </w:rPr>
      </w:pPr>
      <w:r>
        <w:rPr>
          <w:rFonts w:ascii="Gill Sans MT" w:hAnsi="Gill Sans MT"/>
        </w:rPr>
        <w:t>1.</w:t>
      </w:r>
      <w:r w:rsidR="005C0D8D">
        <w:rPr>
          <w:rFonts w:ascii="Gill Sans MT" w:hAnsi="Gill Sans MT"/>
        </w:rPr>
        <w:t>0</w:t>
      </w:r>
      <w:r>
        <w:rPr>
          <w:rFonts w:ascii="Gill Sans MT" w:hAnsi="Gill Sans MT"/>
        </w:rPr>
        <w:tab/>
        <w:t>The relevant approved form must be used when filing an appeal or application, unless you have obtained leave of the Tribunal.</w:t>
      </w:r>
    </w:p>
    <w:p w:rsidR="00365A30" w:rsidRDefault="00365A30" w:rsidP="007F1AA1">
      <w:pPr>
        <w:spacing w:before="120" w:after="240"/>
        <w:ind w:left="567" w:hanging="567"/>
        <w:jc w:val="both"/>
        <w:rPr>
          <w:rFonts w:ascii="Gill Sans MT" w:hAnsi="Gill Sans MT"/>
          <w:b/>
        </w:rPr>
      </w:pPr>
      <w:r w:rsidRPr="00365A30">
        <w:rPr>
          <w:rFonts w:ascii="Gill Sans MT" w:hAnsi="Gill Sans MT"/>
          <w:b/>
        </w:rPr>
        <w:t>Extension of time applications</w:t>
      </w:r>
    </w:p>
    <w:p w:rsidR="00365A30" w:rsidRPr="00365A30" w:rsidRDefault="00365A30" w:rsidP="007F1AA1">
      <w:pPr>
        <w:pStyle w:val="ListParagraph"/>
        <w:numPr>
          <w:ilvl w:val="1"/>
          <w:numId w:val="3"/>
        </w:numPr>
        <w:spacing w:before="120" w:after="240"/>
        <w:ind w:left="567" w:hanging="567"/>
        <w:contextualSpacing w:val="0"/>
        <w:jc w:val="both"/>
        <w:rPr>
          <w:rFonts w:ascii="Gill Sans MT" w:hAnsi="Gill Sans MT"/>
        </w:rPr>
      </w:pPr>
      <w:r w:rsidRPr="00365A30">
        <w:rPr>
          <w:rFonts w:ascii="Gill Sans MT" w:hAnsi="Gill Sans MT"/>
        </w:rPr>
        <w:t>The application must be made in writing</w:t>
      </w:r>
      <w:r>
        <w:rPr>
          <w:rFonts w:ascii="Gill Sans MT" w:hAnsi="Gill Sans MT"/>
        </w:rPr>
        <w:t>.</w:t>
      </w:r>
    </w:p>
    <w:p w:rsidR="00365A30" w:rsidRDefault="00365A30" w:rsidP="007F1AA1">
      <w:pPr>
        <w:pStyle w:val="ListParagraph"/>
        <w:numPr>
          <w:ilvl w:val="1"/>
          <w:numId w:val="3"/>
        </w:numPr>
        <w:spacing w:before="120" w:after="240"/>
        <w:ind w:left="567" w:hanging="567"/>
        <w:contextualSpacing w:val="0"/>
        <w:jc w:val="both"/>
        <w:rPr>
          <w:rFonts w:ascii="Gill Sans MT" w:hAnsi="Gill Sans MT"/>
        </w:rPr>
      </w:pPr>
      <w:r>
        <w:rPr>
          <w:rFonts w:ascii="Gill Sans MT" w:hAnsi="Gill Sans MT"/>
        </w:rPr>
        <w:t>The application</w:t>
      </w:r>
      <w:r w:rsidRPr="00365A30">
        <w:rPr>
          <w:rFonts w:ascii="Gill Sans MT" w:hAnsi="Gill Sans MT"/>
        </w:rPr>
        <w:t xml:space="preserve"> </w:t>
      </w:r>
      <w:r w:rsidR="009325F1">
        <w:rPr>
          <w:rFonts w:ascii="Gill Sans MT" w:hAnsi="Gill Sans MT"/>
        </w:rPr>
        <w:t xml:space="preserve">must </w:t>
      </w:r>
      <w:r w:rsidRPr="00365A30">
        <w:rPr>
          <w:rFonts w:ascii="Gill Sans MT" w:hAnsi="Gill Sans MT"/>
        </w:rPr>
        <w:t>lodged at the same time as the notice of appeal and with the required fee.</w:t>
      </w:r>
    </w:p>
    <w:p w:rsidR="00365A30" w:rsidRPr="00365A30" w:rsidRDefault="00365A30" w:rsidP="007F1AA1">
      <w:pPr>
        <w:pStyle w:val="ListParagraph"/>
        <w:numPr>
          <w:ilvl w:val="1"/>
          <w:numId w:val="3"/>
        </w:numPr>
        <w:spacing w:before="120" w:after="240"/>
        <w:ind w:left="567" w:hanging="567"/>
        <w:contextualSpacing w:val="0"/>
        <w:jc w:val="both"/>
        <w:rPr>
          <w:rFonts w:ascii="Gill Sans MT" w:hAnsi="Gill Sans MT"/>
        </w:rPr>
      </w:pPr>
      <w:r>
        <w:rPr>
          <w:rFonts w:ascii="Gill Sans MT" w:hAnsi="Gill Sans MT"/>
        </w:rPr>
        <w:t xml:space="preserve">The application must </w:t>
      </w:r>
      <w:r w:rsidRPr="00365A30">
        <w:rPr>
          <w:rFonts w:ascii="Gill Sans MT" w:hAnsi="Gill Sans MT"/>
        </w:rPr>
        <w:t xml:space="preserve">contain submissions/evidence addressing the relevant tests under the legislation as to why an extension </w:t>
      </w:r>
      <w:r w:rsidR="009325F1">
        <w:rPr>
          <w:rFonts w:ascii="Gill Sans MT" w:hAnsi="Gill Sans MT"/>
        </w:rPr>
        <w:t>should</w:t>
      </w:r>
      <w:r>
        <w:rPr>
          <w:rFonts w:ascii="Gill Sans MT" w:hAnsi="Gill Sans MT"/>
        </w:rPr>
        <w:t xml:space="preserve"> be granted to lodge the proceedings.</w:t>
      </w:r>
    </w:p>
    <w:p w:rsidR="00365A30" w:rsidRPr="00365A30" w:rsidRDefault="00365A30" w:rsidP="007F1AA1">
      <w:pPr>
        <w:spacing w:before="120" w:after="240"/>
        <w:ind w:left="567" w:hanging="567"/>
        <w:jc w:val="both"/>
        <w:rPr>
          <w:rFonts w:ascii="Gill Sans MT" w:hAnsi="Gill Sans MT"/>
          <w:b/>
        </w:rPr>
      </w:pPr>
      <w:r w:rsidRPr="00365A30">
        <w:rPr>
          <w:rFonts w:ascii="Gill Sans MT" w:hAnsi="Gill Sans MT"/>
          <w:b/>
        </w:rPr>
        <w:t>Application to Waive, Reduce or Refund a Fee:</w:t>
      </w:r>
    </w:p>
    <w:p w:rsidR="00365A30" w:rsidRPr="00365A30" w:rsidRDefault="00365A30" w:rsidP="007F1AA1">
      <w:pPr>
        <w:pStyle w:val="ListParagraph"/>
        <w:numPr>
          <w:ilvl w:val="1"/>
          <w:numId w:val="3"/>
        </w:numPr>
        <w:spacing w:before="120" w:after="240"/>
        <w:ind w:left="567" w:hanging="567"/>
        <w:contextualSpacing w:val="0"/>
        <w:jc w:val="both"/>
        <w:rPr>
          <w:rFonts w:ascii="Gill Sans MT" w:hAnsi="Gill Sans MT"/>
        </w:rPr>
      </w:pPr>
      <w:r w:rsidRPr="00365A30">
        <w:rPr>
          <w:rFonts w:ascii="Gill Sans MT" w:hAnsi="Gill Sans MT"/>
        </w:rPr>
        <w:t xml:space="preserve">An application to waive or reduce a fee must be filed no later than 5 days before the expiry time for lodgement of the </w:t>
      </w:r>
      <w:r w:rsidR="00FF2A49">
        <w:rPr>
          <w:rFonts w:ascii="Gill Sans MT" w:hAnsi="Gill Sans MT"/>
        </w:rPr>
        <w:t xml:space="preserve">proceedings and be made by completing the approved </w:t>
      </w:r>
      <w:r w:rsidR="00814850">
        <w:rPr>
          <w:rFonts w:ascii="Gill Sans MT" w:hAnsi="Gill Sans MT"/>
        </w:rPr>
        <w:t>form located under the FORMS tab on the RPS web page.</w:t>
      </w:r>
    </w:p>
    <w:p w:rsidR="00365A30" w:rsidRDefault="00365A30" w:rsidP="007F1AA1">
      <w:pPr>
        <w:pStyle w:val="ListParagraph"/>
        <w:numPr>
          <w:ilvl w:val="1"/>
          <w:numId w:val="3"/>
        </w:numPr>
        <w:spacing w:before="120" w:after="240"/>
        <w:ind w:left="567" w:hanging="567"/>
        <w:contextualSpacing w:val="0"/>
        <w:jc w:val="both"/>
        <w:rPr>
          <w:rFonts w:ascii="Gill Sans MT" w:hAnsi="Gill Sans MT"/>
        </w:rPr>
      </w:pPr>
      <w:r>
        <w:rPr>
          <w:rFonts w:ascii="Gill Sans MT" w:hAnsi="Gill Sans MT"/>
        </w:rPr>
        <w:t>Any application for waiver or reduction that is filed outside this timeframe must include an explanation for the failure to file within the timeframe set out under 1.4.  A failure to provide a justifiable reason may result in refusal of the application.</w:t>
      </w:r>
    </w:p>
    <w:p w:rsidR="00365A30" w:rsidRDefault="00365A30" w:rsidP="007F1AA1">
      <w:pPr>
        <w:pStyle w:val="ListParagraph"/>
        <w:numPr>
          <w:ilvl w:val="1"/>
          <w:numId w:val="3"/>
        </w:numPr>
        <w:spacing w:before="120" w:after="240"/>
        <w:ind w:left="567" w:hanging="567"/>
        <w:contextualSpacing w:val="0"/>
        <w:jc w:val="both"/>
        <w:rPr>
          <w:rFonts w:ascii="Gill Sans MT" w:hAnsi="Gill Sans MT"/>
        </w:rPr>
      </w:pPr>
      <w:r>
        <w:rPr>
          <w:rFonts w:ascii="Gill Sans MT" w:hAnsi="Gill Sans MT"/>
        </w:rPr>
        <w:t>Any application must include a full statement of assets and liabilities of the person seeking the waiver or fee reduction.</w:t>
      </w:r>
    </w:p>
    <w:p w:rsidR="00365A30" w:rsidRDefault="00365A30" w:rsidP="007F1AA1">
      <w:pPr>
        <w:pStyle w:val="ListParagraph"/>
        <w:numPr>
          <w:ilvl w:val="1"/>
          <w:numId w:val="3"/>
        </w:numPr>
        <w:spacing w:before="120" w:after="240"/>
        <w:ind w:left="567" w:hanging="567"/>
        <w:contextualSpacing w:val="0"/>
        <w:jc w:val="both"/>
        <w:rPr>
          <w:rFonts w:ascii="Gill Sans MT" w:hAnsi="Gill Sans MT"/>
        </w:rPr>
      </w:pPr>
      <w:r>
        <w:rPr>
          <w:rFonts w:ascii="Gill Sans MT" w:hAnsi="Gill Sans MT"/>
        </w:rPr>
        <w:t>Any application must include submissions in support of the waiver or reduction as to why the full fee would cause financial hardship.</w:t>
      </w:r>
    </w:p>
    <w:p w:rsidR="00365A30" w:rsidRPr="00365A30" w:rsidRDefault="00365A30" w:rsidP="007F1AA1">
      <w:pPr>
        <w:pStyle w:val="ListParagraph"/>
        <w:numPr>
          <w:ilvl w:val="1"/>
          <w:numId w:val="3"/>
        </w:numPr>
        <w:spacing w:before="120" w:after="240"/>
        <w:ind w:left="567" w:hanging="567"/>
        <w:contextualSpacing w:val="0"/>
        <w:jc w:val="both"/>
        <w:rPr>
          <w:rFonts w:ascii="Gill Sans MT" w:hAnsi="Gill Sans MT"/>
        </w:rPr>
      </w:pPr>
      <w:r>
        <w:rPr>
          <w:rFonts w:ascii="Gill Sans MT" w:hAnsi="Gill Sans MT"/>
        </w:rPr>
        <w:t>Any application for a refund of a fee should be made with submissions in support of the refund.  (Please note:  if the Tribunal has engaged in work as a result of the application or appeal, a refund is unlikely to be approved.)</w:t>
      </w:r>
    </w:p>
    <w:p w:rsidR="00E76187" w:rsidRPr="00E76187" w:rsidRDefault="00E76187" w:rsidP="007F1AA1">
      <w:pPr>
        <w:spacing w:before="120" w:after="240"/>
        <w:ind w:left="567" w:hanging="567"/>
        <w:jc w:val="both"/>
        <w:rPr>
          <w:rFonts w:ascii="Gill Sans MT" w:hAnsi="Gill Sans MT"/>
          <w:b/>
        </w:rPr>
      </w:pPr>
      <w:r w:rsidRPr="00E76187">
        <w:rPr>
          <w:rFonts w:ascii="Gill Sans MT" w:hAnsi="Gill Sans MT"/>
          <w:b/>
        </w:rPr>
        <w:t>Grounds of Appeal and Issues in Dispute:</w:t>
      </w:r>
    </w:p>
    <w:p w:rsidR="00E76187" w:rsidRPr="00E76187" w:rsidRDefault="00E76187" w:rsidP="007F1AA1">
      <w:pPr>
        <w:pStyle w:val="ListParagraph"/>
        <w:numPr>
          <w:ilvl w:val="1"/>
          <w:numId w:val="3"/>
        </w:numPr>
        <w:spacing w:before="120" w:after="240"/>
        <w:ind w:left="567" w:hanging="567"/>
        <w:contextualSpacing w:val="0"/>
        <w:jc w:val="both"/>
        <w:rPr>
          <w:rFonts w:ascii="Gill Sans MT" w:hAnsi="Gill Sans MT"/>
        </w:rPr>
      </w:pPr>
      <w:r w:rsidRPr="00E76187">
        <w:rPr>
          <w:rFonts w:ascii="Gill Sans MT" w:hAnsi="Gill Sans MT"/>
        </w:rPr>
        <w:t xml:space="preserve">A ground of appeal or issue in dispute must </w:t>
      </w:r>
      <w:r>
        <w:rPr>
          <w:rFonts w:ascii="Gill Sans MT" w:hAnsi="Gill Sans MT"/>
        </w:rPr>
        <w:t xml:space="preserve">identify the </w:t>
      </w:r>
      <w:r w:rsidRPr="00E76187">
        <w:rPr>
          <w:rFonts w:ascii="Gill Sans MT" w:hAnsi="Gill Sans MT"/>
        </w:rPr>
        <w:t xml:space="preserve">provisions of the legislation or subordinate legislation (such as a planning scheme) </w:t>
      </w:r>
      <w:r>
        <w:rPr>
          <w:rFonts w:ascii="Gill Sans MT" w:hAnsi="Gill Sans MT"/>
        </w:rPr>
        <w:t>that makes the issue a relevant one to the proceedings.</w:t>
      </w:r>
    </w:p>
    <w:p w:rsidR="00E76187" w:rsidRDefault="00E76187" w:rsidP="007F1AA1">
      <w:pPr>
        <w:pStyle w:val="ListParagraph"/>
        <w:numPr>
          <w:ilvl w:val="1"/>
          <w:numId w:val="3"/>
        </w:numPr>
        <w:spacing w:before="120" w:after="240"/>
        <w:ind w:left="567" w:hanging="567"/>
        <w:contextualSpacing w:val="0"/>
        <w:jc w:val="both"/>
        <w:rPr>
          <w:rFonts w:ascii="Gill Sans MT" w:hAnsi="Gill Sans MT"/>
        </w:rPr>
      </w:pPr>
      <w:r>
        <w:rPr>
          <w:rFonts w:ascii="Gill Sans MT" w:hAnsi="Gill Sans MT"/>
        </w:rPr>
        <w:t>If the ground of appeal or issue in dispute does not relate to a specific provision of legislation or subordinate legislation, then sufficient details setting out the legal basis of its relevance must be provided (for example, a legal doctrine by reference to case law).</w:t>
      </w:r>
    </w:p>
    <w:p w:rsidR="00E76187" w:rsidRDefault="00E76187" w:rsidP="007F1AA1">
      <w:pPr>
        <w:pStyle w:val="ListParagraph"/>
        <w:numPr>
          <w:ilvl w:val="1"/>
          <w:numId w:val="3"/>
        </w:numPr>
        <w:spacing w:before="120" w:after="240"/>
        <w:ind w:left="567" w:hanging="567"/>
        <w:contextualSpacing w:val="0"/>
        <w:jc w:val="both"/>
        <w:rPr>
          <w:rFonts w:ascii="Gill Sans MT" w:hAnsi="Gill Sans MT"/>
        </w:rPr>
      </w:pPr>
      <w:r>
        <w:rPr>
          <w:rFonts w:ascii="Gill Sans MT" w:hAnsi="Gill Sans MT"/>
        </w:rPr>
        <w:t>A ground of appeal or issue in dispute must provide sufficient particulars setting out the dispute that arises with the provision.</w:t>
      </w:r>
    </w:p>
    <w:p w:rsidR="001533B5" w:rsidRDefault="001533B5" w:rsidP="007F1AA1">
      <w:pPr>
        <w:pStyle w:val="ListParagraph"/>
        <w:spacing w:before="120" w:after="240"/>
        <w:ind w:left="567" w:hanging="567"/>
        <w:contextualSpacing w:val="0"/>
        <w:jc w:val="both"/>
        <w:rPr>
          <w:rFonts w:ascii="Gill Sans MT" w:hAnsi="Gill Sans MT"/>
        </w:rPr>
      </w:pPr>
    </w:p>
    <w:p w:rsidR="00EE043F" w:rsidRDefault="00EE043F" w:rsidP="00567287">
      <w:pPr>
        <w:spacing w:before="120" w:after="240"/>
        <w:jc w:val="both"/>
        <w:rPr>
          <w:rFonts w:ascii="Gill Sans MT" w:hAnsi="Gill Sans MT"/>
          <w:b/>
        </w:rPr>
      </w:pPr>
      <w:r>
        <w:rPr>
          <w:rFonts w:ascii="Gill Sans MT" w:hAnsi="Gill Sans MT"/>
          <w:b/>
        </w:rPr>
        <w:t>FILING CIVIL ENFORCEMENT PROCEEDINGS:</w:t>
      </w:r>
    </w:p>
    <w:p w:rsidR="00892CF2" w:rsidRDefault="00892CF2" w:rsidP="007F1AA1">
      <w:pPr>
        <w:pStyle w:val="ListParagraph"/>
        <w:numPr>
          <w:ilvl w:val="1"/>
          <w:numId w:val="3"/>
        </w:numPr>
        <w:spacing w:before="120" w:after="240"/>
        <w:ind w:left="567" w:hanging="578"/>
        <w:contextualSpacing w:val="0"/>
        <w:jc w:val="both"/>
        <w:rPr>
          <w:rFonts w:ascii="Gill Sans MT" w:hAnsi="Gill Sans MT"/>
        </w:rPr>
      </w:pPr>
      <w:r w:rsidRPr="00892CF2">
        <w:rPr>
          <w:rFonts w:ascii="Gill Sans MT" w:hAnsi="Gill Sans MT"/>
        </w:rPr>
        <w:t xml:space="preserve">An application for civil enforcement orders must be made in writing and by completing the relevant form contained </w:t>
      </w:r>
      <w:r w:rsidR="00814850">
        <w:rPr>
          <w:rFonts w:ascii="Gill Sans MT" w:hAnsi="Gill Sans MT"/>
        </w:rPr>
        <w:t>under the FORMS tab of the RPS web page.</w:t>
      </w:r>
    </w:p>
    <w:p w:rsidR="00892CF2" w:rsidRDefault="00892CF2" w:rsidP="007F1AA1">
      <w:pPr>
        <w:pStyle w:val="ListParagraph"/>
        <w:numPr>
          <w:ilvl w:val="1"/>
          <w:numId w:val="3"/>
        </w:numPr>
        <w:spacing w:before="120" w:after="240"/>
        <w:ind w:left="567" w:hanging="578"/>
        <w:contextualSpacing w:val="0"/>
        <w:jc w:val="both"/>
        <w:rPr>
          <w:rFonts w:ascii="Gill Sans MT" w:hAnsi="Gill Sans MT"/>
        </w:rPr>
      </w:pPr>
      <w:r>
        <w:rPr>
          <w:rFonts w:ascii="Gill Sans MT" w:hAnsi="Gill Sans MT"/>
        </w:rPr>
        <w:t>The application must include:</w:t>
      </w:r>
    </w:p>
    <w:p w:rsidR="00892CF2" w:rsidRDefault="00892CF2" w:rsidP="007F1AA1">
      <w:pPr>
        <w:pStyle w:val="ListParagraph"/>
        <w:numPr>
          <w:ilvl w:val="2"/>
          <w:numId w:val="3"/>
        </w:numPr>
        <w:spacing w:before="120" w:after="240"/>
        <w:ind w:left="1418" w:hanging="851"/>
        <w:contextualSpacing w:val="0"/>
        <w:jc w:val="both"/>
        <w:rPr>
          <w:rFonts w:ascii="Gill Sans MT" w:hAnsi="Gill Sans MT"/>
        </w:rPr>
      </w:pPr>
      <w:r>
        <w:rPr>
          <w:rFonts w:ascii="Gill Sans MT" w:hAnsi="Gill Sans MT"/>
        </w:rPr>
        <w:t xml:space="preserve">Evidence that the person named as the Respondent is the person who is </w:t>
      </w:r>
      <w:r w:rsidR="007F1AA1">
        <w:rPr>
          <w:rFonts w:ascii="Gill Sans MT" w:hAnsi="Gill Sans MT"/>
        </w:rPr>
        <w:t>undertaking the alleged breach.</w:t>
      </w:r>
      <w:r>
        <w:rPr>
          <w:rFonts w:ascii="Gill Sans MT" w:hAnsi="Gill Sans MT"/>
        </w:rPr>
        <w:t xml:space="preserve"> In proceedings under Section 64 of </w:t>
      </w:r>
      <w:r w:rsidRPr="007F1AA1">
        <w:rPr>
          <w:rFonts w:ascii="Gill Sans MT" w:hAnsi="Gill Sans MT"/>
          <w:i/>
        </w:rPr>
        <w:t>LUPA Act 1993</w:t>
      </w:r>
      <w:r>
        <w:rPr>
          <w:rFonts w:ascii="Gill Sans MT" w:hAnsi="Gill Sans MT"/>
        </w:rPr>
        <w:t>, a copy of the Certificate of Title confirming the respondent is the relevant property owner must be included.</w:t>
      </w:r>
    </w:p>
    <w:p w:rsidR="00892CF2" w:rsidRDefault="00892CF2" w:rsidP="007F1AA1">
      <w:pPr>
        <w:pStyle w:val="ListParagraph"/>
        <w:numPr>
          <w:ilvl w:val="2"/>
          <w:numId w:val="3"/>
        </w:numPr>
        <w:spacing w:before="120" w:after="240"/>
        <w:ind w:left="1418" w:hanging="851"/>
        <w:contextualSpacing w:val="0"/>
        <w:jc w:val="both"/>
        <w:rPr>
          <w:rFonts w:ascii="Gill Sans MT" w:hAnsi="Gill Sans MT"/>
        </w:rPr>
      </w:pPr>
      <w:r>
        <w:rPr>
          <w:rFonts w:ascii="Gill Sans MT" w:hAnsi="Gill Sans MT"/>
        </w:rPr>
        <w:t>A list of persons (with addresses and contact details) who have a legal or equitable interest in the subject property.</w:t>
      </w:r>
    </w:p>
    <w:p w:rsidR="00892CF2" w:rsidRDefault="00892CF2" w:rsidP="007F1AA1">
      <w:pPr>
        <w:pStyle w:val="ListParagraph"/>
        <w:numPr>
          <w:ilvl w:val="2"/>
          <w:numId w:val="3"/>
        </w:numPr>
        <w:spacing w:before="120" w:after="240"/>
        <w:ind w:left="1418" w:hanging="851"/>
        <w:contextualSpacing w:val="0"/>
        <w:jc w:val="both"/>
        <w:rPr>
          <w:rFonts w:ascii="Gill Sans MT" w:hAnsi="Gill Sans MT"/>
        </w:rPr>
      </w:pPr>
      <w:r>
        <w:rPr>
          <w:rFonts w:ascii="Gill Sans MT" w:hAnsi="Gill Sans MT"/>
        </w:rPr>
        <w:t>Specific and cle</w:t>
      </w:r>
      <w:r w:rsidR="006C41B3">
        <w:rPr>
          <w:rFonts w:ascii="Gill Sans MT" w:hAnsi="Gill Sans MT"/>
        </w:rPr>
        <w:t>ar orders that set out the nature of the relief sought from the Tribunal.  The orders should include reference to any legislative provisions that give power to the Tribunal to make those orders.</w:t>
      </w:r>
    </w:p>
    <w:p w:rsidR="006C41B3" w:rsidRDefault="006C41B3" w:rsidP="007F1AA1">
      <w:pPr>
        <w:pStyle w:val="ListParagraph"/>
        <w:numPr>
          <w:ilvl w:val="2"/>
          <w:numId w:val="3"/>
        </w:numPr>
        <w:spacing w:before="120" w:after="240"/>
        <w:ind w:left="1418" w:hanging="851"/>
        <w:contextualSpacing w:val="0"/>
        <w:jc w:val="both"/>
        <w:rPr>
          <w:rFonts w:ascii="Gill Sans MT" w:hAnsi="Gill Sans MT"/>
        </w:rPr>
      </w:pPr>
      <w:r>
        <w:rPr>
          <w:rFonts w:ascii="Gill Sans MT" w:hAnsi="Gill Sans MT"/>
        </w:rPr>
        <w:t>Evidence of the breach that is alleged in Affidavit or Statutory Declaration form including all photos other evidence relied upon.</w:t>
      </w:r>
    </w:p>
    <w:p w:rsidR="006C41B3" w:rsidRPr="00892CF2" w:rsidRDefault="006C41B3" w:rsidP="007F1AA1">
      <w:pPr>
        <w:pStyle w:val="ListParagraph"/>
        <w:numPr>
          <w:ilvl w:val="2"/>
          <w:numId w:val="3"/>
        </w:numPr>
        <w:spacing w:before="120" w:after="240"/>
        <w:ind w:left="1418" w:hanging="851"/>
        <w:contextualSpacing w:val="0"/>
        <w:jc w:val="both"/>
        <w:rPr>
          <w:rFonts w:ascii="Gill Sans MT" w:hAnsi="Gill Sans MT"/>
        </w:rPr>
      </w:pPr>
      <w:r>
        <w:rPr>
          <w:rFonts w:ascii="Gill Sans MT" w:hAnsi="Gill Sans MT"/>
        </w:rPr>
        <w:t xml:space="preserve">Four copies of the application and supporting documentation.  If there is more than one respondent, </w:t>
      </w:r>
      <w:r w:rsidR="00BB2FB0">
        <w:rPr>
          <w:rFonts w:ascii="Gill Sans MT" w:hAnsi="Gill Sans MT"/>
        </w:rPr>
        <w:t>the applicant must file two additional copies of each document for each additional respondent.</w:t>
      </w:r>
    </w:p>
    <w:p w:rsidR="00C25C6C" w:rsidRDefault="00C25C6C" w:rsidP="00567287">
      <w:pPr>
        <w:spacing w:before="120" w:after="240"/>
        <w:jc w:val="both"/>
        <w:rPr>
          <w:rFonts w:ascii="Gill Sans MT" w:hAnsi="Gill Sans MT"/>
          <w:b/>
        </w:rPr>
      </w:pPr>
      <w:r>
        <w:rPr>
          <w:rFonts w:ascii="Gill Sans MT" w:hAnsi="Gill Sans MT"/>
          <w:b/>
        </w:rPr>
        <w:t>REPRESENTATION</w:t>
      </w:r>
    </w:p>
    <w:p w:rsidR="00E76187" w:rsidRDefault="00647779" w:rsidP="007F1AA1">
      <w:pPr>
        <w:pStyle w:val="ListParagraph"/>
        <w:numPr>
          <w:ilvl w:val="1"/>
          <w:numId w:val="3"/>
        </w:numPr>
        <w:spacing w:before="120" w:after="240"/>
        <w:ind w:left="567" w:hanging="567"/>
        <w:contextualSpacing w:val="0"/>
        <w:jc w:val="both"/>
        <w:rPr>
          <w:rFonts w:ascii="Gill Sans MT" w:hAnsi="Gill Sans MT"/>
        </w:rPr>
      </w:pPr>
      <w:r w:rsidRPr="00E76187">
        <w:rPr>
          <w:rFonts w:ascii="Gill Sans MT" w:hAnsi="Gill Sans MT"/>
        </w:rPr>
        <w:t>A Legal Practitioner who receives instructions to appear on behalf of a party to proceedings before the Tribunal must, as soon as practicable after receiving instructions, complete and file a Notice of Appearance with the Tribunal Registry.</w:t>
      </w:r>
    </w:p>
    <w:p w:rsidR="00647779" w:rsidRPr="00E76187" w:rsidRDefault="00647779" w:rsidP="007F1AA1">
      <w:pPr>
        <w:pStyle w:val="ListParagraph"/>
        <w:numPr>
          <w:ilvl w:val="1"/>
          <w:numId w:val="3"/>
        </w:numPr>
        <w:spacing w:before="120" w:after="240"/>
        <w:ind w:left="567" w:hanging="567"/>
        <w:contextualSpacing w:val="0"/>
        <w:jc w:val="both"/>
        <w:rPr>
          <w:rFonts w:ascii="Gill Sans MT" w:hAnsi="Gill Sans MT"/>
        </w:rPr>
      </w:pPr>
      <w:r w:rsidRPr="00E76187">
        <w:rPr>
          <w:rFonts w:ascii="Gill Sans MT" w:hAnsi="Gill Sans MT"/>
        </w:rPr>
        <w:t>Any other person who wishes to act on behalf of another person must complete and file an Authority to Act form with the Tribunal as soon as practicable after agreeing to act on behalf of another person.  The party who is being represented must complete the relevant parts of the form.</w:t>
      </w:r>
    </w:p>
    <w:p w:rsidR="00C25C6C" w:rsidRPr="00C25C6C" w:rsidRDefault="00C25C6C" w:rsidP="00567287">
      <w:pPr>
        <w:spacing w:before="120" w:after="240"/>
        <w:jc w:val="both"/>
        <w:rPr>
          <w:rFonts w:ascii="Gill Sans MT" w:hAnsi="Gill Sans MT"/>
        </w:rPr>
      </w:pPr>
    </w:p>
    <w:p w:rsidR="00681C55" w:rsidRDefault="00681C55" w:rsidP="00567287">
      <w:pPr>
        <w:spacing w:before="120" w:after="240"/>
      </w:pPr>
    </w:p>
    <w:sectPr w:rsidR="00681C55" w:rsidSect="0056728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Gill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2B2F"/>
    <w:multiLevelType w:val="multilevel"/>
    <w:tmpl w:val="F2EC130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43E6415"/>
    <w:multiLevelType w:val="multilevel"/>
    <w:tmpl w:val="8C505E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A43C3B"/>
    <w:multiLevelType w:val="multilevel"/>
    <w:tmpl w:val="CE7A94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38F7EEF"/>
    <w:multiLevelType w:val="multilevel"/>
    <w:tmpl w:val="E782EE0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6C"/>
    <w:rsid w:val="001463B4"/>
    <w:rsid w:val="001533B5"/>
    <w:rsid w:val="00293893"/>
    <w:rsid w:val="00365A30"/>
    <w:rsid w:val="00474779"/>
    <w:rsid w:val="00567287"/>
    <w:rsid w:val="005C0D8D"/>
    <w:rsid w:val="00647779"/>
    <w:rsid w:val="00681C55"/>
    <w:rsid w:val="0069066A"/>
    <w:rsid w:val="006C41B3"/>
    <w:rsid w:val="007F1AA1"/>
    <w:rsid w:val="00814850"/>
    <w:rsid w:val="008509BD"/>
    <w:rsid w:val="00892CF2"/>
    <w:rsid w:val="008D41AD"/>
    <w:rsid w:val="009325F1"/>
    <w:rsid w:val="00BB2FB0"/>
    <w:rsid w:val="00C25C6C"/>
    <w:rsid w:val="00C3440D"/>
    <w:rsid w:val="00D62985"/>
    <w:rsid w:val="00DB5A42"/>
    <w:rsid w:val="00DC0975"/>
    <w:rsid w:val="00E76187"/>
    <w:rsid w:val="00EE043F"/>
    <w:rsid w:val="00F119CA"/>
    <w:rsid w:val="00FF2A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6200B"/>
  <w15:chartTrackingRefBased/>
  <w15:docId w15:val="{928897F7-7E3B-4BA8-8015-757EEBE1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676</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Bryan, Jarrod</cp:lastModifiedBy>
  <cp:revision>21</cp:revision>
  <dcterms:created xsi:type="dcterms:W3CDTF">2021-08-29T08:27:00Z</dcterms:created>
  <dcterms:modified xsi:type="dcterms:W3CDTF">2021-11-02T01:18:00Z</dcterms:modified>
</cp:coreProperties>
</file>