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3E" w:rsidRPr="003D34D4" w:rsidRDefault="00BB0C3E" w:rsidP="003770E5">
      <w:pPr>
        <w:pBdr>
          <w:top w:val="single" w:sz="4" w:space="1" w:color="auto"/>
        </w:pBdr>
        <w:jc w:val="center"/>
        <w:rPr>
          <w:rFonts w:ascii="Gill Sans MT" w:hAnsi="Gill Sans MT"/>
          <w:b/>
          <w:sz w:val="36"/>
          <w:szCs w:val="24"/>
        </w:rPr>
      </w:pPr>
    </w:p>
    <w:p w:rsidR="003770E5" w:rsidRPr="003D34D4" w:rsidRDefault="003770E5" w:rsidP="003770E5">
      <w:pPr>
        <w:pBdr>
          <w:top w:val="single" w:sz="4" w:space="1" w:color="auto"/>
        </w:pBdr>
        <w:jc w:val="center"/>
        <w:rPr>
          <w:rFonts w:ascii="Gill Sans MT" w:hAnsi="Gill Sans MT"/>
          <w:b/>
          <w:sz w:val="36"/>
          <w:szCs w:val="24"/>
        </w:rPr>
      </w:pPr>
      <w:r w:rsidRPr="003D34D4">
        <w:rPr>
          <w:rFonts w:ascii="Gill Sans MT" w:hAnsi="Gill Sans MT"/>
          <w:b/>
          <w:sz w:val="36"/>
          <w:szCs w:val="24"/>
        </w:rPr>
        <w:t xml:space="preserve">INFORMATION SHEET: </w:t>
      </w:r>
    </w:p>
    <w:p w:rsidR="003770E5" w:rsidRPr="003D34D4" w:rsidRDefault="00466D35" w:rsidP="003770E5">
      <w:pPr>
        <w:pBdr>
          <w:top w:val="single" w:sz="4" w:space="1" w:color="auto"/>
        </w:pBdr>
        <w:jc w:val="center"/>
        <w:rPr>
          <w:rFonts w:ascii="Gill Sans MT" w:hAnsi="Gill Sans MT"/>
          <w:b/>
          <w:sz w:val="24"/>
          <w:szCs w:val="24"/>
        </w:rPr>
      </w:pPr>
      <w:r>
        <w:rPr>
          <w:rFonts w:ascii="Gill Sans MT" w:hAnsi="Gill Sans MT"/>
          <w:b/>
          <w:sz w:val="36"/>
          <w:szCs w:val="24"/>
        </w:rPr>
        <w:t>Miscellaneous Matters</w:t>
      </w:r>
    </w:p>
    <w:p w:rsidR="003D34D4" w:rsidRPr="00466D35" w:rsidRDefault="003D34D4" w:rsidP="003D34D4">
      <w:pPr>
        <w:pBdr>
          <w:top w:val="single" w:sz="4" w:space="1" w:color="auto"/>
        </w:pBdr>
        <w:rPr>
          <w:rFonts w:ascii="Gill Sans MT" w:hAnsi="Gill Sans MT"/>
          <w:b/>
          <w:sz w:val="24"/>
          <w:szCs w:val="24"/>
        </w:rPr>
      </w:pPr>
    </w:p>
    <w:p w:rsidR="00466D35" w:rsidRPr="00466D35" w:rsidRDefault="00466D35" w:rsidP="00466D35">
      <w:pPr>
        <w:keepNext/>
        <w:numPr>
          <w:ilvl w:val="1"/>
          <w:numId w:val="10"/>
        </w:numPr>
        <w:spacing w:after="240"/>
        <w:ind w:left="567" w:hanging="567"/>
        <w:rPr>
          <w:rFonts w:ascii="Gill Sans MT" w:hAnsi="Gill Sans MT"/>
          <w:b/>
          <w:sz w:val="24"/>
          <w:szCs w:val="24"/>
        </w:rPr>
      </w:pPr>
      <w:r w:rsidRPr="00466D35">
        <w:rPr>
          <w:rFonts w:ascii="Gill Sans MT" w:hAnsi="Gill Sans MT"/>
          <w:b/>
          <w:sz w:val="24"/>
          <w:szCs w:val="24"/>
        </w:rPr>
        <w:t>Lists of Authorities</w:t>
      </w:r>
    </w:p>
    <w:p w:rsidR="00466D35" w:rsidRPr="00466D35" w:rsidRDefault="00466D35" w:rsidP="00466D35">
      <w:pPr>
        <w:pStyle w:val="BodyText"/>
        <w:numPr>
          <w:ilvl w:val="12"/>
          <w:numId w:val="0"/>
        </w:numPr>
        <w:spacing w:after="240"/>
        <w:ind w:left="567"/>
        <w:rPr>
          <w:rFonts w:ascii="Gill Sans MT" w:hAnsi="Gill Sans MT"/>
          <w:bCs/>
        </w:rPr>
      </w:pPr>
      <w:r w:rsidRPr="00466D35">
        <w:rPr>
          <w:rFonts w:ascii="Gill Sans MT" w:hAnsi="Gill Sans MT"/>
          <w:bCs/>
        </w:rPr>
        <w:t>If at any hearing a party wishes to rely on any authorities then notice of the cases to be relied upon is to be provided to the other party and the Tribunal within 3 clear days prior the hearing.</w:t>
      </w:r>
    </w:p>
    <w:p w:rsidR="00466D35" w:rsidRPr="00466D35" w:rsidRDefault="00FB2F34" w:rsidP="00466D35">
      <w:pPr>
        <w:keepNext/>
        <w:numPr>
          <w:ilvl w:val="1"/>
          <w:numId w:val="10"/>
        </w:numPr>
        <w:spacing w:after="240"/>
        <w:ind w:left="567" w:hanging="567"/>
        <w:rPr>
          <w:rFonts w:ascii="Gill Sans MT" w:hAnsi="Gill Sans MT"/>
          <w:b/>
          <w:sz w:val="24"/>
          <w:szCs w:val="24"/>
        </w:rPr>
      </w:pPr>
      <w:r>
        <w:rPr>
          <w:rFonts w:ascii="Gill Sans MT" w:hAnsi="Gill Sans MT"/>
          <w:b/>
          <w:sz w:val="24"/>
          <w:szCs w:val="24"/>
        </w:rPr>
        <w:t>Application for a Summons</w:t>
      </w:r>
    </w:p>
    <w:p w:rsidR="00466D35" w:rsidRPr="00466D35" w:rsidRDefault="00FB2F34" w:rsidP="00466D35">
      <w:pPr>
        <w:pStyle w:val="BodyText"/>
        <w:spacing w:after="240"/>
        <w:ind w:left="567"/>
        <w:rPr>
          <w:rFonts w:ascii="Gill Sans MT" w:hAnsi="Gill Sans MT"/>
        </w:rPr>
      </w:pPr>
      <w:r>
        <w:rPr>
          <w:rFonts w:ascii="Gill Sans MT" w:hAnsi="Gill Sans MT"/>
        </w:rPr>
        <w:t xml:space="preserve">Any application </w:t>
      </w:r>
      <w:r w:rsidR="00466D35" w:rsidRPr="00466D35">
        <w:rPr>
          <w:rFonts w:ascii="Gill Sans MT" w:hAnsi="Gill Sans MT"/>
        </w:rPr>
        <w:t xml:space="preserve">to issue </w:t>
      </w:r>
      <w:r w:rsidR="006B2F4E">
        <w:rPr>
          <w:rFonts w:ascii="Gill Sans MT" w:hAnsi="Gill Sans MT"/>
        </w:rPr>
        <w:t xml:space="preserve">a summons </w:t>
      </w:r>
      <w:r>
        <w:rPr>
          <w:rFonts w:ascii="Gill Sans MT" w:hAnsi="Gill Sans MT"/>
        </w:rPr>
        <w:t xml:space="preserve">pursuant to </w:t>
      </w:r>
      <w:r w:rsidR="006B2F4E">
        <w:rPr>
          <w:rFonts w:ascii="Gill Sans MT" w:hAnsi="Gill Sans MT"/>
        </w:rPr>
        <w:t xml:space="preserve">s104 of the </w:t>
      </w:r>
      <w:r w:rsidR="006B2F4E">
        <w:rPr>
          <w:rFonts w:ascii="Gill Sans MT" w:hAnsi="Gill Sans MT"/>
          <w:i/>
        </w:rPr>
        <w:t xml:space="preserve">Tasmanian Civil and Administrative Amendment Act </w:t>
      </w:r>
      <w:r w:rsidR="006B2F4E">
        <w:rPr>
          <w:rFonts w:ascii="Gill Sans MT" w:hAnsi="Gill Sans MT"/>
        </w:rPr>
        <w:t xml:space="preserve">2021 </w:t>
      </w:r>
      <w:r w:rsidR="00466D35" w:rsidRPr="00466D35">
        <w:rPr>
          <w:rFonts w:ascii="Gill Sans MT" w:hAnsi="Gill Sans MT"/>
        </w:rPr>
        <w:t xml:space="preserve">will be considered by </w:t>
      </w:r>
      <w:r w:rsidR="00466D35">
        <w:rPr>
          <w:rFonts w:ascii="Gill Sans MT" w:hAnsi="Gill Sans MT"/>
        </w:rPr>
        <w:t>the Deputy President or a Senior Member</w:t>
      </w:r>
      <w:r w:rsidR="00466D35" w:rsidRPr="00466D35">
        <w:rPr>
          <w:rFonts w:ascii="Gill Sans MT" w:hAnsi="Gill Sans MT"/>
        </w:rPr>
        <w:t xml:space="preserve">.  Parties will be required to fully detail their reasons for the </w:t>
      </w:r>
      <w:r w:rsidR="00DA3FE2">
        <w:rPr>
          <w:rFonts w:ascii="Gill Sans MT" w:hAnsi="Gill Sans MT"/>
        </w:rPr>
        <w:t>application</w:t>
      </w:r>
      <w:r w:rsidR="00466D35" w:rsidRPr="00466D35">
        <w:rPr>
          <w:rFonts w:ascii="Gill Sans MT" w:hAnsi="Gill Sans MT"/>
        </w:rPr>
        <w:t xml:space="preserve"> and satisfy the </w:t>
      </w:r>
      <w:r w:rsidR="00466D35">
        <w:rPr>
          <w:rFonts w:ascii="Gill Sans MT" w:hAnsi="Gill Sans MT"/>
        </w:rPr>
        <w:t xml:space="preserve">Deputy President or a Senior Member </w:t>
      </w:r>
      <w:r w:rsidR="00466D35" w:rsidRPr="00466D35">
        <w:rPr>
          <w:rFonts w:ascii="Gill Sans MT" w:hAnsi="Gill Sans MT"/>
        </w:rPr>
        <w:t xml:space="preserve">of the existence of a proper basis for the issue of such a </w:t>
      </w:r>
      <w:r>
        <w:rPr>
          <w:rFonts w:ascii="Gill Sans MT" w:hAnsi="Gill Sans MT"/>
        </w:rPr>
        <w:t>summons</w:t>
      </w:r>
      <w:r w:rsidR="006B2F4E">
        <w:rPr>
          <w:rStyle w:val="FootnoteReference"/>
          <w:rFonts w:ascii="Gill Sans MT" w:hAnsi="Gill Sans MT"/>
        </w:rPr>
        <w:footnoteReference w:id="1"/>
      </w:r>
      <w:r w:rsidR="00466D35" w:rsidRPr="00466D35">
        <w:rPr>
          <w:rFonts w:ascii="Gill Sans MT" w:hAnsi="Gill Sans MT"/>
        </w:rPr>
        <w:t>.</w:t>
      </w:r>
    </w:p>
    <w:p w:rsidR="00466D35" w:rsidRPr="00466D35" w:rsidRDefault="00466D35" w:rsidP="00466D35">
      <w:pPr>
        <w:pStyle w:val="BodyText"/>
        <w:spacing w:after="240"/>
        <w:ind w:left="567"/>
        <w:rPr>
          <w:rFonts w:ascii="Gill Sans MT" w:hAnsi="Gill Sans MT"/>
        </w:rPr>
      </w:pPr>
      <w:r w:rsidRPr="00466D35">
        <w:rPr>
          <w:rFonts w:ascii="Gill Sans MT" w:hAnsi="Gill Sans MT"/>
        </w:rPr>
        <w:t xml:space="preserve">The Tribunal will not accept responsibility for any fees associated with the </w:t>
      </w:r>
      <w:r w:rsidR="00FB2F34">
        <w:rPr>
          <w:rFonts w:ascii="Gill Sans MT" w:hAnsi="Gill Sans MT"/>
        </w:rPr>
        <w:t xml:space="preserve">summons </w:t>
      </w:r>
      <w:r w:rsidRPr="00466D35">
        <w:rPr>
          <w:rFonts w:ascii="Gill Sans MT" w:hAnsi="Gill Sans MT"/>
        </w:rPr>
        <w:t xml:space="preserve">and the party seeking the </w:t>
      </w:r>
      <w:r w:rsidR="00FB2F34">
        <w:rPr>
          <w:rFonts w:ascii="Gill Sans MT" w:hAnsi="Gill Sans MT"/>
        </w:rPr>
        <w:t xml:space="preserve">summons </w:t>
      </w:r>
      <w:r w:rsidRPr="00466D35">
        <w:rPr>
          <w:rFonts w:ascii="Gill Sans MT" w:hAnsi="Gill Sans MT"/>
        </w:rPr>
        <w:t>must accept responsibility for such costs prio</w:t>
      </w:r>
      <w:r w:rsidR="006B2F4E">
        <w:rPr>
          <w:rFonts w:ascii="Gill Sans MT" w:hAnsi="Gill Sans MT"/>
        </w:rPr>
        <w:t xml:space="preserve">r to </w:t>
      </w:r>
      <w:r w:rsidR="00FB2F34">
        <w:rPr>
          <w:rFonts w:ascii="Gill Sans MT" w:hAnsi="Gill Sans MT"/>
        </w:rPr>
        <w:t xml:space="preserve">the summons </w:t>
      </w:r>
      <w:r w:rsidR="006B2F4E">
        <w:rPr>
          <w:rFonts w:ascii="Gill Sans MT" w:hAnsi="Gill Sans MT"/>
        </w:rPr>
        <w:t>being issued.</w:t>
      </w:r>
    </w:p>
    <w:p w:rsidR="00466D35" w:rsidRPr="00466D35" w:rsidRDefault="00466D35" w:rsidP="00466D35">
      <w:pPr>
        <w:pStyle w:val="BodyText"/>
        <w:spacing w:after="240"/>
        <w:ind w:left="567"/>
        <w:rPr>
          <w:rFonts w:ascii="Gill Sans MT" w:hAnsi="Gill Sans MT"/>
        </w:rPr>
      </w:pPr>
      <w:r w:rsidRPr="00466D35">
        <w:rPr>
          <w:rFonts w:ascii="Gill Sans MT" w:hAnsi="Gill Sans MT"/>
        </w:rPr>
        <w:t xml:space="preserve">Documents sought upon such a </w:t>
      </w:r>
      <w:r w:rsidR="006B2F4E">
        <w:rPr>
          <w:rFonts w:ascii="Gill Sans MT" w:hAnsi="Gill Sans MT"/>
        </w:rPr>
        <w:t>summons</w:t>
      </w:r>
      <w:r w:rsidRPr="00466D35">
        <w:rPr>
          <w:rFonts w:ascii="Gill Sans MT" w:hAnsi="Gill Sans MT"/>
        </w:rPr>
        <w:t xml:space="preserve"> will be returnable to the Tribunal.  Upon receipt, the Tribunal will arrange for the opposing party to examine the documents, if appropriate,  in order to identify any </w:t>
      </w:r>
      <w:r w:rsidR="00DA3FE2">
        <w:rPr>
          <w:rFonts w:ascii="Gill Sans MT" w:hAnsi="Gill Sans MT"/>
        </w:rPr>
        <w:t>objections</w:t>
      </w:r>
      <w:r w:rsidRPr="00466D35">
        <w:rPr>
          <w:rFonts w:ascii="Gill Sans MT" w:hAnsi="Gill Sans MT"/>
        </w:rPr>
        <w:t xml:space="preserve">.  Such </w:t>
      </w:r>
      <w:r w:rsidR="00DA3FE2">
        <w:rPr>
          <w:rFonts w:ascii="Gill Sans MT" w:hAnsi="Gill Sans MT"/>
        </w:rPr>
        <w:t xml:space="preserve">objections </w:t>
      </w:r>
      <w:bookmarkStart w:id="0" w:name="_GoBack"/>
      <w:bookmarkEnd w:id="0"/>
      <w:r w:rsidRPr="00466D35">
        <w:rPr>
          <w:rFonts w:ascii="Gill Sans MT" w:hAnsi="Gill Sans MT"/>
        </w:rPr>
        <w:t xml:space="preserve">will be determined by the Tribunal (either formally or informally) before the documents are made available for viewing by the other party. </w:t>
      </w:r>
    </w:p>
    <w:p w:rsidR="00466D35" w:rsidRPr="00466D35" w:rsidRDefault="00466D35" w:rsidP="00466D35">
      <w:pPr>
        <w:pStyle w:val="BodyText"/>
        <w:spacing w:after="240"/>
        <w:ind w:left="567"/>
        <w:rPr>
          <w:rFonts w:ascii="Gill Sans MT" w:hAnsi="Gill Sans MT"/>
        </w:rPr>
      </w:pPr>
      <w:r w:rsidRPr="00466D35">
        <w:rPr>
          <w:rFonts w:ascii="Gill Sans MT" w:hAnsi="Gill Sans MT"/>
        </w:rPr>
        <w:t>In the normal course the Tribunal will not hear objections on the grounds of privilege, relevance or otherwise until the documents are before the Tribunal.</w:t>
      </w:r>
    </w:p>
    <w:p w:rsidR="00466D35" w:rsidRPr="00466D35" w:rsidRDefault="00466D35" w:rsidP="00466D35">
      <w:pPr>
        <w:numPr>
          <w:ilvl w:val="1"/>
          <w:numId w:val="10"/>
        </w:numPr>
        <w:spacing w:after="240"/>
        <w:ind w:left="567" w:hanging="567"/>
        <w:rPr>
          <w:rFonts w:ascii="Gill Sans MT" w:hAnsi="Gill Sans MT"/>
          <w:b/>
          <w:sz w:val="24"/>
          <w:szCs w:val="24"/>
        </w:rPr>
      </w:pPr>
      <w:r w:rsidRPr="00466D35">
        <w:rPr>
          <w:rFonts w:ascii="Gill Sans MT" w:hAnsi="Gill Sans MT"/>
          <w:b/>
          <w:sz w:val="24"/>
          <w:szCs w:val="24"/>
        </w:rPr>
        <w:t>Referral to Arbitrated Hearing</w:t>
      </w:r>
    </w:p>
    <w:p w:rsidR="00466D35" w:rsidRPr="00466D35" w:rsidRDefault="00466D35" w:rsidP="00466D35">
      <w:pPr>
        <w:pStyle w:val="BodyText"/>
        <w:spacing w:after="240"/>
        <w:ind w:left="567"/>
        <w:rPr>
          <w:rFonts w:ascii="Gill Sans MT" w:hAnsi="Gill Sans MT"/>
        </w:rPr>
      </w:pPr>
      <w:r w:rsidRPr="00466D35">
        <w:rPr>
          <w:rFonts w:ascii="Gill Sans MT" w:hAnsi="Gill Sans MT"/>
        </w:rPr>
        <w:t xml:space="preserve">Where a matter is referred for hearing to the Tribunal by the conciliator, and after the directions hearing where the parties have confirmed the dates for hearing provided by the Tribunal are suitable, the Tribunal will, within 7 days, provide to the parties a </w:t>
      </w:r>
      <w:r>
        <w:rPr>
          <w:rFonts w:ascii="Gill Sans MT" w:hAnsi="Gill Sans MT"/>
        </w:rPr>
        <w:t>n</w:t>
      </w:r>
      <w:r w:rsidRPr="00466D35">
        <w:rPr>
          <w:rFonts w:ascii="Gill Sans MT" w:hAnsi="Gill Sans MT"/>
        </w:rPr>
        <w:t xml:space="preserve">otice of </w:t>
      </w:r>
      <w:r>
        <w:rPr>
          <w:rFonts w:ascii="Gill Sans MT" w:hAnsi="Gill Sans MT"/>
        </w:rPr>
        <w:t>p</w:t>
      </w:r>
      <w:r w:rsidRPr="00466D35">
        <w:rPr>
          <w:rFonts w:ascii="Gill Sans MT" w:hAnsi="Gill Sans MT"/>
        </w:rPr>
        <w:t xml:space="preserve">rehearing </w:t>
      </w:r>
      <w:r>
        <w:rPr>
          <w:rFonts w:ascii="Gill Sans MT" w:hAnsi="Gill Sans MT"/>
        </w:rPr>
        <w:t>c</w:t>
      </w:r>
      <w:r w:rsidRPr="00466D35">
        <w:rPr>
          <w:rFonts w:ascii="Gill Sans MT" w:hAnsi="Gill Sans MT"/>
        </w:rPr>
        <w:t xml:space="preserve">onference and </w:t>
      </w:r>
      <w:r w:rsidR="006B2F4E">
        <w:rPr>
          <w:rFonts w:ascii="Gill Sans MT" w:hAnsi="Gill Sans MT"/>
        </w:rPr>
        <w:t xml:space="preserve">in most cases </w:t>
      </w:r>
      <w:r w:rsidRPr="00466D35">
        <w:rPr>
          <w:rFonts w:ascii="Gill Sans MT" w:hAnsi="Gill Sans MT"/>
        </w:rPr>
        <w:t xml:space="preserve">a </w:t>
      </w:r>
      <w:r>
        <w:rPr>
          <w:rFonts w:ascii="Gill Sans MT" w:hAnsi="Gill Sans MT"/>
        </w:rPr>
        <w:t>n</w:t>
      </w:r>
      <w:r w:rsidRPr="00466D35">
        <w:rPr>
          <w:rFonts w:ascii="Gill Sans MT" w:hAnsi="Gill Sans MT"/>
        </w:rPr>
        <w:t xml:space="preserve">otice of </w:t>
      </w:r>
      <w:r>
        <w:rPr>
          <w:rFonts w:ascii="Gill Sans MT" w:hAnsi="Gill Sans MT"/>
        </w:rPr>
        <w:t>h</w:t>
      </w:r>
      <w:r w:rsidRPr="00466D35">
        <w:rPr>
          <w:rFonts w:ascii="Gill Sans MT" w:hAnsi="Gill Sans MT"/>
        </w:rPr>
        <w:t xml:space="preserve">earing.  </w:t>
      </w:r>
    </w:p>
    <w:p w:rsidR="00466D35" w:rsidRPr="00466D35" w:rsidRDefault="00466D35" w:rsidP="00466D35">
      <w:pPr>
        <w:pStyle w:val="BodyText"/>
        <w:spacing w:after="240"/>
        <w:ind w:left="567"/>
        <w:rPr>
          <w:rFonts w:ascii="Gill Sans MT" w:hAnsi="Gill Sans MT"/>
        </w:rPr>
      </w:pPr>
      <w:r w:rsidRPr="00466D35">
        <w:rPr>
          <w:rFonts w:ascii="Gill Sans MT" w:hAnsi="Gill Sans MT"/>
        </w:rPr>
        <w:t xml:space="preserve">The purpose of the </w:t>
      </w:r>
      <w:r>
        <w:rPr>
          <w:rFonts w:ascii="Gill Sans MT" w:hAnsi="Gill Sans MT"/>
        </w:rPr>
        <w:t>p</w:t>
      </w:r>
      <w:r w:rsidRPr="00466D35">
        <w:rPr>
          <w:rFonts w:ascii="Gill Sans MT" w:hAnsi="Gill Sans MT"/>
        </w:rPr>
        <w:t xml:space="preserve">rehearing </w:t>
      </w:r>
      <w:r>
        <w:rPr>
          <w:rFonts w:ascii="Gill Sans MT" w:hAnsi="Gill Sans MT"/>
        </w:rPr>
        <w:t>c</w:t>
      </w:r>
      <w:r w:rsidRPr="00466D35">
        <w:rPr>
          <w:rFonts w:ascii="Gill Sans MT" w:hAnsi="Gill Sans MT"/>
        </w:rPr>
        <w:t>onference is to ensure that the matter is ready to proceed to hearing on the scheduled dates.</w:t>
      </w:r>
    </w:p>
    <w:p w:rsidR="00466D35" w:rsidRPr="00466D35" w:rsidRDefault="00466D35" w:rsidP="00466D35">
      <w:pPr>
        <w:spacing w:after="240"/>
        <w:ind w:left="567"/>
        <w:rPr>
          <w:rFonts w:ascii="Gill Sans MT" w:hAnsi="Gill Sans MT"/>
          <w:sz w:val="24"/>
          <w:szCs w:val="24"/>
        </w:rPr>
      </w:pPr>
      <w:r w:rsidRPr="00466D35">
        <w:rPr>
          <w:rFonts w:ascii="Gill Sans MT" w:hAnsi="Gill Sans MT"/>
          <w:sz w:val="24"/>
          <w:szCs w:val="24"/>
        </w:rPr>
        <w:t xml:space="preserve">If there is an unsuccessful conciliation in relation to </w:t>
      </w:r>
      <w:proofErr w:type="gramStart"/>
      <w:r w:rsidRPr="00466D35">
        <w:rPr>
          <w:rFonts w:ascii="Gill Sans MT" w:hAnsi="Gill Sans MT"/>
          <w:sz w:val="24"/>
          <w:szCs w:val="24"/>
        </w:rPr>
        <w:t>a</w:t>
      </w:r>
      <w:proofErr w:type="gramEnd"/>
      <w:r w:rsidRPr="00466D35">
        <w:rPr>
          <w:rFonts w:ascii="Gill Sans MT" w:hAnsi="Gill Sans MT"/>
          <w:sz w:val="24"/>
          <w:szCs w:val="24"/>
        </w:rPr>
        <w:t xml:space="preserve"> s86(4) and s88 referral involving the same worker, the hearing of the s86(4) referral will not be delayed if the employer is not in a position to proceed with the s88 referral. </w:t>
      </w:r>
    </w:p>
    <w:p w:rsidR="00466D35" w:rsidRPr="00466D35" w:rsidRDefault="00466D35" w:rsidP="00466D35">
      <w:pPr>
        <w:keepNext/>
        <w:numPr>
          <w:ilvl w:val="1"/>
          <w:numId w:val="10"/>
        </w:numPr>
        <w:spacing w:after="240"/>
        <w:ind w:left="567" w:hanging="567"/>
        <w:rPr>
          <w:rFonts w:ascii="Gill Sans MT" w:hAnsi="Gill Sans MT"/>
          <w:b/>
          <w:sz w:val="24"/>
          <w:szCs w:val="24"/>
        </w:rPr>
      </w:pPr>
      <w:r w:rsidRPr="00466D35">
        <w:rPr>
          <w:rFonts w:ascii="Gill Sans MT" w:hAnsi="Gill Sans MT"/>
          <w:b/>
          <w:sz w:val="24"/>
          <w:szCs w:val="24"/>
        </w:rPr>
        <w:lastRenderedPageBreak/>
        <w:t>Applications for Interim Orders (s60A)</w:t>
      </w:r>
    </w:p>
    <w:p w:rsidR="00466D35" w:rsidRPr="00466D35" w:rsidRDefault="00466D35" w:rsidP="00466D35">
      <w:pPr>
        <w:spacing w:after="240"/>
        <w:ind w:left="567"/>
        <w:jc w:val="both"/>
        <w:rPr>
          <w:rFonts w:ascii="Gill Sans MT" w:hAnsi="Gill Sans MT"/>
          <w:b/>
          <w:sz w:val="24"/>
          <w:szCs w:val="24"/>
        </w:rPr>
      </w:pPr>
      <w:r w:rsidRPr="00466D35">
        <w:rPr>
          <w:rFonts w:ascii="Gill Sans MT" w:hAnsi="Gill Sans MT"/>
          <w:sz w:val="24"/>
          <w:szCs w:val="24"/>
        </w:rPr>
        <w:t>Applications for an interim order should be accompanied with the evidentiary material to be relied upon, in particular an affidavit or statutory declaration from the applicant setting out the evidence to be relied upon in establishing the basis for the making of an order.  The application will not be listed until the Tribunal is satisfied that the supporting material and an outline of the basis of the application have been provided to the other party and to the Tribunal.</w:t>
      </w:r>
      <w:r w:rsidR="006B2F4E">
        <w:rPr>
          <w:rStyle w:val="FootnoteReference"/>
          <w:rFonts w:ascii="Gill Sans MT" w:hAnsi="Gill Sans MT"/>
          <w:sz w:val="24"/>
          <w:szCs w:val="24"/>
        </w:rPr>
        <w:footnoteReference w:id="2"/>
      </w:r>
    </w:p>
    <w:p w:rsidR="00466D35" w:rsidRPr="00466D35" w:rsidRDefault="00466D35" w:rsidP="00466D35">
      <w:pPr>
        <w:numPr>
          <w:ilvl w:val="1"/>
          <w:numId w:val="10"/>
        </w:numPr>
        <w:spacing w:after="240"/>
        <w:ind w:left="567" w:hanging="567"/>
        <w:rPr>
          <w:rFonts w:ascii="Gill Sans MT" w:hAnsi="Gill Sans MT"/>
          <w:b/>
          <w:sz w:val="24"/>
          <w:szCs w:val="24"/>
        </w:rPr>
      </w:pPr>
      <w:r w:rsidRPr="00466D35">
        <w:rPr>
          <w:rFonts w:ascii="Gill Sans MT" w:hAnsi="Gill Sans MT"/>
          <w:b/>
          <w:sz w:val="24"/>
          <w:szCs w:val="24"/>
        </w:rPr>
        <w:t>Requests for Orders By Consent</w:t>
      </w:r>
      <w:r w:rsidR="00FB2F34">
        <w:rPr>
          <w:rFonts w:ascii="Gill Sans MT" w:hAnsi="Gill Sans MT"/>
          <w:b/>
          <w:sz w:val="24"/>
          <w:szCs w:val="24"/>
        </w:rPr>
        <w:t xml:space="preserve"> (s61(2))</w:t>
      </w:r>
    </w:p>
    <w:p w:rsidR="00466D35" w:rsidRPr="00466D35" w:rsidRDefault="00466D35" w:rsidP="00466D35">
      <w:pPr>
        <w:pStyle w:val="BodyText"/>
        <w:spacing w:after="240"/>
        <w:ind w:left="567"/>
        <w:rPr>
          <w:rFonts w:ascii="Gill Sans MT" w:hAnsi="Gill Sans MT"/>
        </w:rPr>
      </w:pPr>
      <w:r w:rsidRPr="00466D35">
        <w:rPr>
          <w:rFonts w:ascii="Gill Sans MT" w:hAnsi="Gill Sans MT"/>
        </w:rPr>
        <w:t>Parties seeking orders by consent are to provide a joint memorandum clearly outlining the form of the orders sought and the section of the Act pursuant to which orders can be made.</w:t>
      </w:r>
      <w:r w:rsidR="006B2F4E">
        <w:rPr>
          <w:rStyle w:val="FootnoteReference"/>
          <w:rFonts w:ascii="Gill Sans MT" w:hAnsi="Gill Sans MT"/>
        </w:rPr>
        <w:footnoteReference w:id="3"/>
      </w:r>
    </w:p>
    <w:p w:rsidR="00466D35" w:rsidRPr="00466D35" w:rsidRDefault="00466D35" w:rsidP="00466D35">
      <w:pPr>
        <w:numPr>
          <w:ilvl w:val="1"/>
          <w:numId w:val="10"/>
        </w:numPr>
        <w:spacing w:after="240"/>
        <w:ind w:left="567" w:hanging="567"/>
        <w:rPr>
          <w:rFonts w:ascii="Gill Sans MT" w:hAnsi="Gill Sans MT"/>
          <w:b/>
          <w:sz w:val="24"/>
          <w:szCs w:val="24"/>
        </w:rPr>
      </w:pPr>
      <w:r w:rsidRPr="00466D35">
        <w:rPr>
          <w:rFonts w:ascii="Gill Sans MT" w:hAnsi="Gill Sans MT"/>
          <w:b/>
          <w:sz w:val="24"/>
          <w:szCs w:val="24"/>
        </w:rPr>
        <w:t>Expert Witnesses</w:t>
      </w:r>
    </w:p>
    <w:p w:rsidR="00466D35" w:rsidRPr="00466D35" w:rsidRDefault="00466D35" w:rsidP="00466D35">
      <w:pPr>
        <w:pStyle w:val="BodyText"/>
        <w:spacing w:after="240"/>
        <w:ind w:left="567"/>
        <w:rPr>
          <w:rFonts w:ascii="Gill Sans MT" w:hAnsi="Gill Sans MT"/>
        </w:rPr>
      </w:pPr>
      <w:r w:rsidRPr="00466D35">
        <w:rPr>
          <w:rFonts w:ascii="Gill Sans MT" w:hAnsi="Gill Sans MT"/>
        </w:rPr>
        <w:t xml:space="preserve">Parties are to ensure that expert witnesses engaged for the purposes of matters before the Tribunal are aware of and agree to comply with the Expert Witness Code of Conduct published as Practice Direction 1 of 2016 at </w:t>
      </w:r>
      <w:hyperlink r:id="rId7" w:history="1">
        <w:r w:rsidRPr="00466D35">
          <w:rPr>
            <w:rStyle w:val="Hyperlink"/>
            <w:rFonts w:ascii="Gill Sans MT" w:hAnsi="Gill Sans MT"/>
          </w:rPr>
          <w:t>http://www.supremecourt.tas.gov.au/publications/practice_directions</w:t>
        </w:r>
      </w:hyperlink>
      <w:r w:rsidRPr="00466D35">
        <w:rPr>
          <w:rFonts w:ascii="Gill Sans MT" w:hAnsi="Gill Sans MT"/>
        </w:rPr>
        <w:t>.</w:t>
      </w:r>
      <w:r w:rsidR="006B2F4E">
        <w:rPr>
          <w:rStyle w:val="FootnoteReference"/>
          <w:rFonts w:ascii="Gill Sans MT" w:hAnsi="Gill Sans MT"/>
        </w:rPr>
        <w:footnoteReference w:id="4"/>
      </w:r>
    </w:p>
    <w:p w:rsidR="00466D35" w:rsidRPr="00466D35" w:rsidRDefault="00466D35" w:rsidP="00466D35">
      <w:pPr>
        <w:numPr>
          <w:ilvl w:val="1"/>
          <w:numId w:val="10"/>
        </w:numPr>
        <w:spacing w:after="240"/>
        <w:ind w:left="567" w:hanging="567"/>
        <w:rPr>
          <w:rFonts w:ascii="Gill Sans MT" w:hAnsi="Gill Sans MT"/>
          <w:b/>
          <w:sz w:val="24"/>
          <w:szCs w:val="24"/>
        </w:rPr>
      </w:pPr>
      <w:r w:rsidRPr="00466D35">
        <w:rPr>
          <w:rFonts w:ascii="Gill Sans MT" w:hAnsi="Gill Sans MT"/>
          <w:b/>
          <w:sz w:val="24"/>
          <w:szCs w:val="24"/>
        </w:rPr>
        <w:t>Microsoft Teams and Video Conference Facilities</w:t>
      </w:r>
    </w:p>
    <w:p w:rsidR="00466D35" w:rsidRPr="00466D35" w:rsidRDefault="00466D35" w:rsidP="00466D35">
      <w:pPr>
        <w:pStyle w:val="BodyText"/>
        <w:spacing w:after="240"/>
        <w:ind w:left="567"/>
        <w:rPr>
          <w:rFonts w:ascii="Gill Sans MT" w:hAnsi="Gill Sans MT"/>
        </w:rPr>
      </w:pPr>
      <w:r>
        <w:rPr>
          <w:rFonts w:ascii="Gill Sans MT" w:hAnsi="Gill Sans MT"/>
        </w:rPr>
        <w:t>F</w:t>
      </w:r>
      <w:r w:rsidRPr="00466D35">
        <w:rPr>
          <w:rFonts w:ascii="Gill Sans MT" w:hAnsi="Gill Sans MT"/>
        </w:rPr>
        <w:t>acilities are available for parties to attend the Tribunal via Microsoft Teams. These facilities can be made available if requested and approved by the Tribunal.</w:t>
      </w:r>
    </w:p>
    <w:p w:rsidR="00466D35" w:rsidRPr="00466D35" w:rsidRDefault="00466D35" w:rsidP="00466D35">
      <w:pPr>
        <w:numPr>
          <w:ilvl w:val="1"/>
          <w:numId w:val="10"/>
        </w:numPr>
        <w:spacing w:after="240"/>
        <w:ind w:left="567" w:hanging="567"/>
        <w:rPr>
          <w:rFonts w:ascii="Gill Sans MT" w:hAnsi="Gill Sans MT"/>
          <w:b/>
          <w:sz w:val="24"/>
          <w:szCs w:val="24"/>
        </w:rPr>
      </w:pPr>
      <w:r w:rsidRPr="00466D35">
        <w:rPr>
          <w:rFonts w:ascii="Gill Sans MT" w:hAnsi="Gill Sans MT"/>
          <w:b/>
          <w:sz w:val="24"/>
          <w:szCs w:val="24"/>
        </w:rPr>
        <w:t>General Administration Issues</w:t>
      </w:r>
    </w:p>
    <w:p w:rsidR="00466D35" w:rsidRPr="00466D35" w:rsidRDefault="00466D35" w:rsidP="00466D35">
      <w:pPr>
        <w:pStyle w:val="BodyText"/>
        <w:numPr>
          <w:ilvl w:val="0"/>
          <w:numId w:val="11"/>
        </w:numPr>
        <w:spacing w:after="240"/>
        <w:ind w:left="1134" w:hanging="567"/>
        <w:textAlignment w:val="baseline"/>
        <w:rPr>
          <w:rFonts w:ascii="Gill Sans MT" w:hAnsi="Gill Sans MT"/>
          <w:i/>
        </w:rPr>
      </w:pPr>
      <w:r w:rsidRPr="00466D35">
        <w:rPr>
          <w:rFonts w:ascii="Gill Sans MT" w:hAnsi="Gill Sans MT"/>
        </w:rPr>
        <w:t xml:space="preserve">When filing paper referrals, the appropriate numbers of copies (including all attached documents) must be provided.  </w:t>
      </w:r>
    </w:p>
    <w:p w:rsidR="00466D35" w:rsidRPr="00466D35" w:rsidRDefault="00466D35" w:rsidP="00466D35">
      <w:pPr>
        <w:pStyle w:val="BodyText"/>
        <w:numPr>
          <w:ilvl w:val="0"/>
          <w:numId w:val="11"/>
        </w:numPr>
        <w:spacing w:after="240"/>
        <w:ind w:left="1134" w:hanging="567"/>
        <w:textAlignment w:val="baseline"/>
        <w:rPr>
          <w:rFonts w:ascii="Gill Sans MT" w:hAnsi="Gill Sans MT"/>
          <w:i/>
        </w:rPr>
      </w:pPr>
      <w:r w:rsidRPr="00466D35">
        <w:rPr>
          <w:rFonts w:ascii="Gill Sans MT" w:hAnsi="Gill Sans MT"/>
        </w:rPr>
        <w:t xml:space="preserve">All referrals can now be filed with the Tribunal electronically by sending them to the following email address: </w:t>
      </w:r>
      <w:hyperlink r:id="rId8" w:history="1">
        <w:r w:rsidRPr="007A3242">
          <w:rPr>
            <w:rStyle w:val="Hyperlink"/>
            <w:rFonts w:ascii="Gill Sans MT" w:hAnsi="Gill Sans MT"/>
          </w:rPr>
          <w:t>wrc.personalcompensation@tascat.tas.gov.au</w:t>
        </w:r>
      </w:hyperlink>
      <w:r w:rsidRPr="00466D35">
        <w:rPr>
          <w:rFonts w:ascii="Gill Sans MT" w:hAnsi="Gill Sans MT"/>
        </w:rPr>
        <w:t>.</w:t>
      </w:r>
    </w:p>
    <w:p w:rsidR="00466D35" w:rsidRPr="00466D35" w:rsidRDefault="00466D35" w:rsidP="00466D35">
      <w:pPr>
        <w:pStyle w:val="BodyText"/>
        <w:numPr>
          <w:ilvl w:val="0"/>
          <w:numId w:val="11"/>
        </w:numPr>
        <w:spacing w:after="240"/>
        <w:ind w:left="1134" w:hanging="567"/>
        <w:textAlignment w:val="baseline"/>
        <w:rPr>
          <w:rFonts w:ascii="Gill Sans MT" w:hAnsi="Gill Sans MT"/>
          <w:i/>
        </w:rPr>
      </w:pPr>
      <w:r w:rsidRPr="00466D35">
        <w:rPr>
          <w:rFonts w:ascii="Gill Sans MT" w:hAnsi="Gill Sans MT"/>
        </w:rPr>
        <w:t xml:space="preserve">If a referral is lodged electronically the onus will be upon the party lodging the referral to prove the referral has been filed with the Tribunal within the time limit prescribed by the relevant section of the Act.  When the Tribunal receives a referral it will acknowledge receipt of it. However, if a party does not receive an acknowledgement, they should contact the Tribunal to ensure the referral has been received. </w:t>
      </w:r>
    </w:p>
    <w:p w:rsidR="00466D35" w:rsidRPr="00466D35" w:rsidRDefault="00466D35" w:rsidP="00466D35">
      <w:pPr>
        <w:pStyle w:val="BodyText"/>
        <w:numPr>
          <w:ilvl w:val="0"/>
          <w:numId w:val="11"/>
        </w:numPr>
        <w:spacing w:after="240"/>
        <w:ind w:left="1134" w:hanging="567"/>
        <w:textAlignment w:val="baseline"/>
        <w:rPr>
          <w:rFonts w:ascii="Gill Sans MT" w:hAnsi="Gill Sans MT"/>
          <w:i/>
        </w:rPr>
      </w:pPr>
      <w:r w:rsidRPr="00466D35">
        <w:rPr>
          <w:rFonts w:ascii="Gill Sans MT" w:hAnsi="Gill Sans MT"/>
        </w:rPr>
        <w:t>All referrals filed electronically must be collated and attached in a single document.  Covering letters may be attached separately.</w:t>
      </w:r>
    </w:p>
    <w:p w:rsidR="00466D35" w:rsidRPr="00466D35" w:rsidRDefault="00466D35" w:rsidP="00466D35">
      <w:pPr>
        <w:pStyle w:val="BodyText"/>
        <w:numPr>
          <w:ilvl w:val="0"/>
          <w:numId w:val="11"/>
        </w:numPr>
        <w:spacing w:after="240"/>
        <w:ind w:left="1134" w:hanging="567"/>
        <w:textAlignment w:val="baseline"/>
        <w:rPr>
          <w:rFonts w:ascii="Gill Sans MT" w:hAnsi="Gill Sans MT"/>
          <w:i/>
        </w:rPr>
      </w:pPr>
      <w:r w:rsidRPr="00466D35">
        <w:rPr>
          <w:rFonts w:ascii="Gill Sans MT" w:hAnsi="Gill Sans MT"/>
        </w:rPr>
        <w:t>The Tribunal will continue to provide workers with a hard copy of any referral filed on behalf of an employer</w:t>
      </w:r>
    </w:p>
    <w:p w:rsidR="00466D35" w:rsidRPr="00466D35" w:rsidRDefault="00466D35" w:rsidP="00466D35">
      <w:pPr>
        <w:pStyle w:val="BodyText"/>
        <w:numPr>
          <w:ilvl w:val="0"/>
          <w:numId w:val="11"/>
        </w:numPr>
        <w:spacing w:after="240"/>
        <w:ind w:left="1134" w:hanging="567"/>
        <w:textAlignment w:val="baseline"/>
        <w:rPr>
          <w:rFonts w:ascii="Gill Sans MT" w:hAnsi="Gill Sans MT"/>
        </w:rPr>
      </w:pPr>
      <w:r w:rsidRPr="00466D35">
        <w:rPr>
          <w:rFonts w:ascii="Gill Sans MT" w:hAnsi="Gill Sans MT"/>
        </w:rPr>
        <w:lastRenderedPageBreak/>
        <w:t xml:space="preserve">When noting the names and addresses of parties on referral forms it is not acceptable to leave details for parties blank or to note these as “care of” the insurer or other party unless there are exceptional circumstances such as an employer ceasing to trade or being in liquidation.  A specific street address must be provided as the Tribunal is required to send notices to all parties and the Act only makes provision for delivery by mail. </w:t>
      </w:r>
    </w:p>
    <w:p w:rsidR="00466D35" w:rsidRPr="00466D35" w:rsidRDefault="00466D35" w:rsidP="00466D35">
      <w:pPr>
        <w:pStyle w:val="BodyText"/>
        <w:numPr>
          <w:ilvl w:val="0"/>
          <w:numId w:val="11"/>
        </w:numPr>
        <w:spacing w:after="240"/>
        <w:ind w:left="1134" w:hanging="567"/>
        <w:textAlignment w:val="baseline"/>
        <w:rPr>
          <w:rFonts w:ascii="Gill Sans MT" w:hAnsi="Gill Sans MT"/>
        </w:rPr>
      </w:pPr>
      <w:r w:rsidRPr="00466D35">
        <w:rPr>
          <w:rFonts w:ascii="Gill Sans MT" w:hAnsi="Gill Sans MT"/>
        </w:rPr>
        <w:t>When referrals are filed with the Tribunal, where possible, all evidentiary material relied upon should be attached (including the claim form and the initial workers compensation medical certificate)</w:t>
      </w:r>
      <w:r w:rsidR="006B2F4E">
        <w:rPr>
          <w:rStyle w:val="FootnoteReference"/>
          <w:rFonts w:ascii="Gill Sans MT" w:hAnsi="Gill Sans MT"/>
        </w:rPr>
        <w:footnoteReference w:id="5"/>
      </w:r>
      <w:r w:rsidRPr="00466D35">
        <w:rPr>
          <w:rFonts w:ascii="Gill Sans MT" w:hAnsi="Gill Sans MT"/>
        </w:rPr>
        <w:t>.  If a party does not have and cannot obtain a copy of the claim documents then the referral needs to be accompanied by a letter stating why that is so.  The letter also needs to provide details of the injury, the date of the injury and the parties that are involved.</w:t>
      </w:r>
    </w:p>
    <w:p w:rsidR="00466D35" w:rsidRPr="00466D35" w:rsidRDefault="00466D35" w:rsidP="00466D35">
      <w:pPr>
        <w:pStyle w:val="BodyText"/>
        <w:numPr>
          <w:ilvl w:val="0"/>
          <w:numId w:val="11"/>
        </w:numPr>
        <w:spacing w:after="240"/>
        <w:ind w:left="1134" w:hanging="567"/>
        <w:textAlignment w:val="baseline"/>
        <w:rPr>
          <w:rFonts w:ascii="Gill Sans MT" w:hAnsi="Gill Sans MT"/>
        </w:rPr>
      </w:pPr>
      <w:r w:rsidRPr="00466D35">
        <w:rPr>
          <w:rFonts w:ascii="Gill Sans MT" w:hAnsi="Gill Sans MT"/>
        </w:rPr>
        <w:t xml:space="preserve">The Tribunal will make available to parties telephone and teleconference facilities as requested and approved. </w:t>
      </w:r>
    </w:p>
    <w:p w:rsidR="006B2F4E" w:rsidRPr="006B2F4E" w:rsidRDefault="00466D35" w:rsidP="006B2F4E">
      <w:pPr>
        <w:pStyle w:val="BodyText"/>
        <w:numPr>
          <w:ilvl w:val="0"/>
          <w:numId w:val="11"/>
        </w:numPr>
        <w:spacing w:after="240"/>
        <w:ind w:left="1134" w:hanging="567"/>
        <w:textAlignment w:val="baseline"/>
        <w:rPr>
          <w:rFonts w:ascii="Gill Sans MT" w:hAnsi="Gill Sans MT"/>
        </w:rPr>
      </w:pPr>
      <w:r w:rsidRPr="00466D35">
        <w:rPr>
          <w:rFonts w:ascii="Gill Sans MT" w:hAnsi="Gill Sans MT"/>
        </w:rPr>
        <w:t xml:space="preserve">All decisions of the Tribunal (except ex parte s81A decisions) are published on </w:t>
      </w:r>
      <w:r>
        <w:rPr>
          <w:rFonts w:ascii="Gill Sans MT" w:hAnsi="Gill Sans MT"/>
        </w:rPr>
        <w:t>Austlii.</w:t>
      </w:r>
    </w:p>
    <w:sectPr w:rsidR="006B2F4E" w:rsidRPr="006B2F4E" w:rsidSect="00CC3297">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14A" w:rsidRDefault="002A514A">
      <w:r>
        <w:separator/>
      </w:r>
    </w:p>
  </w:endnote>
  <w:endnote w:type="continuationSeparator" w:id="0">
    <w:p w:rsidR="002A514A" w:rsidRDefault="002A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14A" w:rsidRDefault="002A514A">
      <w:r>
        <w:separator/>
      </w:r>
    </w:p>
  </w:footnote>
  <w:footnote w:type="continuationSeparator" w:id="0">
    <w:p w:rsidR="002A514A" w:rsidRDefault="002A514A">
      <w:r>
        <w:continuationSeparator/>
      </w:r>
    </w:p>
  </w:footnote>
  <w:footnote w:id="1">
    <w:p w:rsidR="006B2F4E" w:rsidRPr="006B2F4E" w:rsidRDefault="006B2F4E">
      <w:pPr>
        <w:pStyle w:val="FootnoteText"/>
        <w:rPr>
          <w:rFonts w:ascii="Gill Sans MT" w:hAnsi="Gill Sans MT"/>
        </w:rPr>
      </w:pPr>
      <w:r w:rsidRPr="006B2F4E">
        <w:rPr>
          <w:rStyle w:val="FootnoteReference"/>
          <w:rFonts w:ascii="Gill Sans MT" w:hAnsi="Gill Sans MT"/>
        </w:rPr>
        <w:footnoteRef/>
      </w:r>
      <w:r w:rsidR="00FB2F34">
        <w:rPr>
          <w:rFonts w:ascii="Gill Sans MT" w:hAnsi="Gill Sans MT"/>
        </w:rPr>
        <w:t xml:space="preserve"> </w:t>
      </w:r>
      <w:r w:rsidR="00FB2F34">
        <w:rPr>
          <w:rFonts w:ascii="Gill Sans MT" w:hAnsi="Gill Sans MT"/>
        </w:rPr>
        <w:tab/>
        <w:t>See Practice Direction 1.13</w:t>
      </w:r>
    </w:p>
  </w:footnote>
  <w:footnote w:id="2">
    <w:p w:rsidR="006B2F4E" w:rsidRPr="006B2F4E" w:rsidRDefault="006B2F4E">
      <w:pPr>
        <w:pStyle w:val="FootnoteText"/>
        <w:rPr>
          <w:rFonts w:ascii="Gill Sans MT" w:hAnsi="Gill Sans MT"/>
        </w:rPr>
      </w:pPr>
      <w:r w:rsidRPr="006B2F4E">
        <w:rPr>
          <w:rStyle w:val="FootnoteReference"/>
          <w:rFonts w:ascii="Gill Sans MT" w:hAnsi="Gill Sans MT"/>
        </w:rPr>
        <w:footnoteRef/>
      </w:r>
      <w:r w:rsidRPr="006B2F4E">
        <w:rPr>
          <w:rFonts w:ascii="Gill Sans MT" w:hAnsi="Gill Sans MT"/>
        </w:rPr>
        <w:t xml:space="preserve"> </w:t>
      </w:r>
      <w:r w:rsidRPr="006B2F4E">
        <w:rPr>
          <w:rFonts w:ascii="Gill Sans MT" w:hAnsi="Gill Sans MT"/>
        </w:rPr>
        <w:tab/>
        <w:t>See Practice Direction 1.1</w:t>
      </w:r>
      <w:r w:rsidR="00FB2F34">
        <w:rPr>
          <w:rFonts w:ascii="Gill Sans MT" w:hAnsi="Gill Sans MT"/>
        </w:rPr>
        <w:t>4</w:t>
      </w:r>
    </w:p>
  </w:footnote>
  <w:footnote w:id="3">
    <w:p w:rsidR="006B2F4E" w:rsidRPr="006B2F4E" w:rsidRDefault="006B2F4E">
      <w:pPr>
        <w:pStyle w:val="FootnoteText"/>
        <w:rPr>
          <w:rFonts w:ascii="Gill Sans MT" w:hAnsi="Gill Sans MT"/>
        </w:rPr>
      </w:pPr>
      <w:r w:rsidRPr="006B2F4E">
        <w:rPr>
          <w:rStyle w:val="FootnoteReference"/>
          <w:rFonts w:ascii="Gill Sans MT" w:hAnsi="Gill Sans MT"/>
        </w:rPr>
        <w:footnoteRef/>
      </w:r>
      <w:r w:rsidR="00FB2F34">
        <w:rPr>
          <w:rFonts w:ascii="Gill Sans MT" w:hAnsi="Gill Sans MT"/>
        </w:rPr>
        <w:t xml:space="preserve"> </w:t>
      </w:r>
      <w:r w:rsidR="00FB2F34">
        <w:rPr>
          <w:rFonts w:ascii="Gill Sans MT" w:hAnsi="Gill Sans MT"/>
        </w:rPr>
        <w:tab/>
        <w:t>See Practice Direction 1.15</w:t>
      </w:r>
    </w:p>
  </w:footnote>
  <w:footnote w:id="4">
    <w:p w:rsidR="006B2F4E" w:rsidRPr="006B2F4E" w:rsidRDefault="006B2F4E">
      <w:pPr>
        <w:pStyle w:val="FootnoteText"/>
        <w:rPr>
          <w:rFonts w:ascii="Gill Sans MT" w:hAnsi="Gill Sans MT"/>
        </w:rPr>
      </w:pPr>
      <w:r w:rsidRPr="006B2F4E">
        <w:rPr>
          <w:rStyle w:val="FootnoteReference"/>
          <w:rFonts w:ascii="Gill Sans MT" w:hAnsi="Gill Sans MT"/>
        </w:rPr>
        <w:footnoteRef/>
      </w:r>
      <w:r w:rsidRPr="006B2F4E">
        <w:rPr>
          <w:rFonts w:ascii="Gill Sans MT" w:hAnsi="Gill Sans MT"/>
        </w:rPr>
        <w:t xml:space="preserve"> </w:t>
      </w:r>
      <w:r w:rsidRPr="006B2F4E">
        <w:rPr>
          <w:rFonts w:ascii="Gill Sans MT" w:hAnsi="Gill Sans MT"/>
        </w:rPr>
        <w:tab/>
        <w:t xml:space="preserve">See </w:t>
      </w:r>
      <w:r w:rsidR="00FB2F34">
        <w:rPr>
          <w:rFonts w:ascii="Gill Sans MT" w:hAnsi="Gill Sans MT"/>
        </w:rPr>
        <w:t>Practice Directions 1.16</w:t>
      </w:r>
    </w:p>
  </w:footnote>
  <w:footnote w:id="5">
    <w:p w:rsidR="006B2F4E" w:rsidRPr="006B2F4E" w:rsidRDefault="006B2F4E">
      <w:pPr>
        <w:pStyle w:val="FootnoteText"/>
        <w:rPr>
          <w:rFonts w:ascii="Gill Sans MT" w:hAnsi="Gill Sans MT"/>
        </w:rPr>
      </w:pPr>
      <w:r w:rsidRPr="006B2F4E">
        <w:rPr>
          <w:rStyle w:val="FootnoteReference"/>
          <w:rFonts w:ascii="Gill Sans MT" w:hAnsi="Gill Sans MT"/>
        </w:rPr>
        <w:footnoteRef/>
      </w:r>
      <w:r w:rsidRPr="006B2F4E">
        <w:rPr>
          <w:rFonts w:ascii="Gill Sans MT" w:hAnsi="Gill Sans MT"/>
        </w:rPr>
        <w:t xml:space="preserve"> </w:t>
      </w:r>
      <w:r w:rsidRPr="006B2F4E">
        <w:rPr>
          <w:rFonts w:ascii="Gill Sans MT" w:hAnsi="Gill Sans MT"/>
        </w:rPr>
        <w:tab/>
        <w:t>See Practice Direction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49" w:rsidRPr="004F357E" w:rsidRDefault="00DA3FE2">
    <w:pPr>
      <w:pStyle w:val="Header"/>
      <w:jc w:val="center"/>
      <w:rPr>
        <w:rFonts w:ascii="Gill Sans MT" w:hAnsi="Gill Sans MT"/>
        <w:sz w:val="24"/>
        <w:szCs w:val="24"/>
      </w:rPr>
    </w:pPr>
    <w:sdt>
      <w:sdtPr>
        <w:rPr>
          <w:sz w:val="24"/>
          <w:szCs w:val="24"/>
        </w:rPr>
        <w:id w:val="-338150497"/>
        <w:docPartObj>
          <w:docPartGallery w:val="Page Numbers (Top of Page)"/>
          <w:docPartUnique/>
        </w:docPartObj>
      </w:sdtPr>
      <w:sdtEndPr>
        <w:rPr>
          <w:rFonts w:ascii="Gill Sans MT" w:hAnsi="Gill Sans MT"/>
          <w:noProof/>
        </w:rPr>
      </w:sdtEndPr>
      <w:sdtContent>
        <w:r w:rsidR="003770E5" w:rsidRPr="004F357E">
          <w:rPr>
            <w:rFonts w:ascii="Gill Sans MT" w:hAnsi="Gill Sans MT"/>
            <w:sz w:val="24"/>
            <w:szCs w:val="24"/>
          </w:rPr>
          <w:fldChar w:fldCharType="begin"/>
        </w:r>
        <w:r w:rsidR="003770E5" w:rsidRPr="004F357E">
          <w:rPr>
            <w:rFonts w:ascii="Gill Sans MT" w:hAnsi="Gill Sans MT"/>
            <w:sz w:val="24"/>
            <w:szCs w:val="24"/>
          </w:rPr>
          <w:instrText xml:space="preserve"> PAGE   \* MERGEFORMAT </w:instrText>
        </w:r>
        <w:r w:rsidR="003770E5" w:rsidRPr="004F357E">
          <w:rPr>
            <w:rFonts w:ascii="Gill Sans MT" w:hAnsi="Gill Sans MT"/>
            <w:sz w:val="24"/>
            <w:szCs w:val="24"/>
          </w:rPr>
          <w:fldChar w:fldCharType="separate"/>
        </w:r>
        <w:r>
          <w:rPr>
            <w:rFonts w:ascii="Gill Sans MT" w:hAnsi="Gill Sans MT"/>
            <w:noProof/>
            <w:sz w:val="24"/>
            <w:szCs w:val="24"/>
          </w:rPr>
          <w:t>3</w:t>
        </w:r>
        <w:r w:rsidR="003770E5" w:rsidRPr="004F357E">
          <w:rPr>
            <w:rFonts w:ascii="Gill Sans MT" w:hAnsi="Gill Sans MT"/>
            <w:noProof/>
            <w:sz w:val="24"/>
            <w:szCs w:val="24"/>
          </w:rPr>
          <w:fldChar w:fldCharType="end"/>
        </w:r>
      </w:sdtContent>
    </w:sdt>
  </w:p>
  <w:p w:rsidR="00CC3297" w:rsidRPr="00CC3297" w:rsidRDefault="00DA3FE2" w:rsidP="00965749">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3E" w:rsidRDefault="00BB0C3E" w:rsidP="00BB0C3E">
    <w:pPr>
      <w:pStyle w:val="Header"/>
    </w:pPr>
    <w:r w:rsidRPr="00E4742C">
      <w:rPr>
        <w:noProof/>
        <w:lang w:eastAsia="en-AU"/>
      </w:rPr>
      <w:drawing>
        <wp:anchor distT="0" distB="0" distL="114300" distR="114300" simplePos="0" relativeHeight="251661312" behindDoc="0" locked="0" layoutInCell="1" allowOverlap="1" wp14:anchorId="6884DAB4" wp14:editId="4BC71989">
          <wp:simplePos x="0" y="0"/>
          <wp:positionH relativeFrom="margin">
            <wp:align>left</wp:align>
          </wp:positionH>
          <wp:positionV relativeFrom="margin">
            <wp:posOffset>-1209055</wp:posOffset>
          </wp:positionV>
          <wp:extent cx="2907665" cy="1007745"/>
          <wp:effectExtent l="0" t="0" r="698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7308"/>
                  <a:stretch/>
                </pic:blipFill>
                <pic:spPr bwMode="auto">
                  <a:xfrm>
                    <a:off x="0" y="0"/>
                    <a:ext cx="2907665" cy="1007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0C3E" w:rsidRDefault="00BB0C3E" w:rsidP="00BB0C3E">
    <w:pPr>
      <w:pStyle w:val="Header"/>
    </w:pPr>
  </w:p>
  <w:p w:rsidR="00BB0C3E" w:rsidRDefault="00BB0C3E" w:rsidP="00BB0C3E">
    <w:pPr>
      <w:pStyle w:val="Header"/>
    </w:pPr>
  </w:p>
  <w:p w:rsidR="00BB0C3E" w:rsidRPr="00BB0C3E" w:rsidRDefault="00BB0C3E" w:rsidP="00BB0C3E">
    <w:pPr>
      <w:pStyle w:val="Header"/>
      <w:jc w:val="right"/>
      <w:rPr>
        <w:rFonts w:ascii="Gill Sans MT" w:hAnsi="Gill Sans MT"/>
        <w:sz w:val="24"/>
      </w:rPr>
    </w:pPr>
    <w:r w:rsidRPr="00BB0C3E">
      <w:rPr>
        <w:rFonts w:ascii="Gill Sans MT" w:hAnsi="Gill Sans MT"/>
        <w:sz w:val="24"/>
      </w:rPr>
      <w:t>General Division – Personal Compensation</w:t>
    </w:r>
  </w:p>
  <w:p w:rsidR="00965749" w:rsidRPr="00BB0C3E" w:rsidRDefault="00BB0C3E" w:rsidP="00BB0C3E">
    <w:pPr>
      <w:pStyle w:val="Header"/>
      <w:jc w:val="right"/>
    </w:pPr>
    <w:r w:rsidRPr="00BB0C3E">
      <w:rPr>
        <w:rFonts w:ascii="Gill Sans MT" w:hAnsi="Gill Sans MT"/>
        <w:sz w:val="24"/>
      </w:rPr>
      <w:t>Workers Rehabilitation and Compensation Act 1988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AADAEA"/>
    <w:lvl w:ilvl="0">
      <w:numFmt w:val="decimal"/>
      <w:lvlText w:val="*"/>
      <w:lvlJc w:val="left"/>
    </w:lvl>
  </w:abstractNum>
  <w:abstractNum w:abstractNumId="1" w15:restartNumberingAfterBreak="0">
    <w:nsid w:val="12766862"/>
    <w:multiLevelType w:val="hybridMultilevel"/>
    <w:tmpl w:val="69D81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5F40AE"/>
    <w:multiLevelType w:val="hybridMultilevel"/>
    <w:tmpl w:val="158606EA"/>
    <w:lvl w:ilvl="0" w:tplc="E26A929E">
      <w:start w:val="1"/>
      <w:numFmt w:val="bullet"/>
      <w:lvlText w:val=""/>
      <w:lvlJc w:val="left"/>
      <w:pPr>
        <w:tabs>
          <w:tab w:val="num" w:pos="28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9542446"/>
    <w:multiLevelType w:val="multilevel"/>
    <w:tmpl w:val="B908015A"/>
    <w:lvl w:ilvl="0">
      <w:start w:val="8"/>
      <w:numFmt w:val="decimal"/>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12B7314"/>
    <w:multiLevelType w:val="hybridMultilevel"/>
    <w:tmpl w:val="29700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460ECB"/>
    <w:multiLevelType w:val="hybridMultilevel"/>
    <w:tmpl w:val="493AAA20"/>
    <w:lvl w:ilvl="0" w:tplc="D86E8846">
      <w:start w:val="1"/>
      <w:numFmt w:val="lowerLetter"/>
      <w:lvlText w:val="(%1)"/>
      <w:lvlJc w:val="left"/>
      <w:pPr>
        <w:ind w:left="927" w:hanging="360"/>
      </w:pPr>
      <w:rPr>
        <w:rFonts w:hint="default"/>
        <w:i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44D85486"/>
    <w:multiLevelType w:val="hybridMultilevel"/>
    <w:tmpl w:val="D984281E"/>
    <w:lvl w:ilvl="0" w:tplc="29B8E3F4">
      <w:start w:val="1"/>
      <w:numFmt w:val="bullet"/>
      <w:lvlText w:val=""/>
      <w:lvlJc w:val="left"/>
      <w:pPr>
        <w:tabs>
          <w:tab w:val="num" w:pos="1418"/>
        </w:tabs>
        <w:ind w:left="1418" w:hanging="567"/>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17F2D99"/>
    <w:multiLevelType w:val="hybridMultilevel"/>
    <w:tmpl w:val="10B077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72B47BE"/>
    <w:multiLevelType w:val="multilevel"/>
    <w:tmpl w:val="F8E4D356"/>
    <w:lvl w:ilvl="0">
      <w:start w:val="7"/>
      <w:numFmt w:val="decimal"/>
      <w:lvlText w:val="%1"/>
      <w:lvlJc w:val="left"/>
      <w:pPr>
        <w:ind w:left="360" w:hanging="360"/>
      </w:pPr>
      <w:rPr>
        <w:rFonts w:hint="default"/>
        <w:u w:val="none"/>
      </w:rPr>
    </w:lvl>
    <w:lvl w:ilvl="1">
      <w:start w:val="1"/>
      <w:numFmt w:val="decimal"/>
      <w:lvlText w:val="%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5CB71C8B"/>
    <w:multiLevelType w:val="hybridMultilevel"/>
    <w:tmpl w:val="CC9E6680"/>
    <w:lvl w:ilvl="0" w:tplc="E26A929E">
      <w:start w:val="1"/>
      <w:numFmt w:val="bullet"/>
      <w:lvlText w:val=""/>
      <w:lvlJc w:val="left"/>
      <w:pPr>
        <w:tabs>
          <w:tab w:val="num" w:pos="284"/>
        </w:tabs>
        <w:ind w:left="568" w:hanging="284"/>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7B60725D"/>
    <w:multiLevelType w:val="hybridMultilevel"/>
    <w:tmpl w:val="5022AC5A"/>
    <w:lvl w:ilvl="0" w:tplc="E26A929E">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7"/>
  </w:num>
  <w:num w:numId="5">
    <w:abstractNumId w:val="0"/>
    <w:lvlOverride w:ilvl="0">
      <w:lvl w:ilvl="0">
        <w:start w:val="1"/>
        <w:numFmt w:val="bullet"/>
        <w:lvlText w:val=""/>
        <w:legacy w:legacy="1" w:legacySpace="120" w:legacyIndent="284"/>
        <w:lvlJc w:val="left"/>
        <w:pPr>
          <w:ind w:left="284" w:hanging="284"/>
        </w:pPr>
        <w:rPr>
          <w:rFonts w:ascii="Symbol" w:hAnsi="Symbol" w:hint="default"/>
        </w:rPr>
      </w:lvl>
    </w:lvlOverride>
  </w:num>
  <w:num w:numId="6">
    <w:abstractNumId w:val="2"/>
  </w:num>
  <w:num w:numId="7">
    <w:abstractNumId w:val="9"/>
  </w:num>
  <w:num w:numId="8">
    <w:abstractNumId w:val="8"/>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DA"/>
    <w:rsid w:val="000C04BD"/>
    <w:rsid w:val="000D1CC4"/>
    <w:rsid w:val="001126C6"/>
    <w:rsid w:val="001366DA"/>
    <w:rsid w:val="002066D6"/>
    <w:rsid w:val="0022069F"/>
    <w:rsid w:val="002812DD"/>
    <w:rsid w:val="002A514A"/>
    <w:rsid w:val="002B0C43"/>
    <w:rsid w:val="002C1127"/>
    <w:rsid w:val="002C2614"/>
    <w:rsid w:val="0030188D"/>
    <w:rsid w:val="00315A8B"/>
    <w:rsid w:val="00376F3C"/>
    <w:rsid w:val="003770E5"/>
    <w:rsid w:val="0038761F"/>
    <w:rsid w:val="003A3D32"/>
    <w:rsid w:val="003B42CE"/>
    <w:rsid w:val="003D34D4"/>
    <w:rsid w:val="003E12FF"/>
    <w:rsid w:val="00421575"/>
    <w:rsid w:val="00441A5D"/>
    <w:rsid w:val="00466D35"/>
    <w:rsid w:val="004E1757"/>
    <w:rsid w:val="004F357E"/>
    <w:rsid w:val="00531AED"/>
    <w:rsid w:val="005C0806"/>
    <w:rsid w:val="005C6FBF"/>
    <w:rsid w:val="00606622"/>
    <w:rsid w:val="00607E89"/>
    <w:rsid w:val="00631E52"/>
    <w:rsid w:val="00674B8A"/>
    <w:rsid w:val="006B2F4E"/>
    <w:rsid w:val="006E12BB"/>
    <w:rsid w:val="006E132E"/>
    <w:rsid w:val="00732DB6"/>
    <w:rsid w:val="00753DB9"/>
    <w:rsid w:val="0075611E"/>
    <w:rsid w:val="00845566"/>
    <w:rsid w:val="008567F8"/>
    <w:rsid w:val="00883827"/>
    <w:rsid w:val="008D6527"/>
    <w:rsid w:val="008E17D0"/>
    <w:rsid w:val="008E2875"/>
    <w:rsid w:val="008E47DA"/>
    <w:rsid w:val="009368ED"/>
    <w:rsid w:val="00945E89"/>
    <w:rsid w:val="00984EF8"/>
    <w:rsid w:val="009D6709"/>
    <w:rsid w:val="00A075C9"/>
    <w:rsid w:val="00A372FB"/>
    <w:rsid w:val="00A80887"/>
    <w:rsid w:val="00A81DF1"/>
    <w:rsid w:val="00AB2DEE"/>
    <w:rsid w:val="00B42E4C"/>
    <w:rsid w:val="00B5590E"/>
    <w:rsid w:val="00BB0C3E"/>
    <w:rsid w:val="00BC10C0"/>
    <w:rsid w:val="00C505DD"/>
    <w:rsid w:val="00C81D2A"/>
    <w:rsid w:val="00D06923"/>
    <w:rsid w:val="00D13958"/>
    <w:rsid w:val="00DA3FE2"/>
    <w:rsid w:val="00E2082A"/>
    <w:rsid w:val="00F76023"/>
    <w:rsid w:val="00FB2F34"/>
    <w:rsid w:val="00FB4DDC"/>
    <w:rsid w:val="00FB6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80FF2"/>
  <w14:defaultImageDpi w14:val="0"/>
  <w15:docId w15:val="{9172CCCC-7CE8-4EC9-8D6D-4FE16C51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89"/>
    <w:pPr>
      <w:overflowPunct w:val="0"/>
      <w:autoSpaceDE w:val="0"/>
      <w:autoSpaceDN w:val="0"/>
      <w:adjustRightInd w:val="0"/>
      <w:textAlignment w:val="baseline"/>
    </w:pPr>
    <w:rPr>
      <w:sz w:val="26"/>
      <w:szCs w:val="26"/>
    </w:rPr>
  </w:style>
  <w:style w:type="paragraph" w:styleId="Heading4">
    <w:name w:val="heading 4"/>
    <w:basedOn w:val="Normal"/>
    <w:link w:val="Heading4Char"/>
    <w:qFormat/>
    <w:rsid w:val="003D34D4"/>
    <w:pPr>
      <w:jc w:val="both"/>
      <w:outlineLvl w:val="3"/>
    </w:pPr>
    <w:rPr>
      <w:rFonts w:ascii="Arial" w:hAnsi="Arial"/>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7E89"/>
    <w:pPr>
      <w:tabs>
        <w:tab w:val="center" w:pos="4819"/>
        <w:tab w:val="right" w:pos="9071"/>
      </w:tabs>
    </w:pPr>
  </w:style>
  <w:style w:type="character" w:customStyle="1" w:styleId="FooterChar">
    <w:name w:val="Footer Char"/>
    <w:basedOn w:val="DefaultParagraphFont"/>
    <w:link w:val="Footer"/>
    <w:uiPriority w:val="99"/>
    <w:locked/>
    <w:rsid w:val="00607E89"/>
    <w:rPr>
      <w:rFonts w:eastAsia="Times New Roman" w:cs="Times New Roman"/>
      <w:sz w:val="26"/>
      <w:szCs w:val="26"/>
    </w:rPr>
  </w:style>
  <w:style w:type="paragraph" w:styleId="Header">
    <w:name w:val="header"/>
    <w:basedOn w:val="Normal"/>
    <w:link w:val="HeaderChar"/>
    <w:uiPriority w:val="99"/>
    <w:rsid w:val="00607E89"/>
    <w:pPr>
      <w:tabs>
        <w:tab w:val="center" w:pos="4153"/>
        <w:tab w:val="right" w:pos="8306"/>
      </w:tabs>
    </w:pPr>
  </w:style>
  <w:style w:type="character" w:customStyle="1" w:styleId="HeaderChar">
    <w:name w:val="Header Char"/>
    <w:basedOn w:val="DefaultParagraphFont"/>
    <w:link w:val="Header"/>
    <w:uiPriority w:val="99"/>
    <w:locked/>
    <w:rsid w:val="00607E89"/>
    <w:rPr>
      <w:rFonts w:eastAsia="Times New Roman" w:cs="Times New Roman"/>
      <w:sz w:val="26"/>
      <w:szCs w:val="26"/>
    </w:rPr>
  </w:style>
  <w:style w:type="character" w:styleId="PageNumber">
    <w:name w:val="page number"/>
    <w:basedOn w:val="DefaultParagraphFont"/>
    <w:uiPriority w:val="99"/>
    <w:rsid w:val="00607E89"/>
    <w:rPr>
      <w:rFonts w:cs="Times New Roman"/>
    </w:rPr>
  </w:style>
  <w:style w:type="paragraph" w:styleId="BodyText">
    <w:name w:val="Body Text"/>
    <w:basedOn w:val="Normal"/>
    <w:link w:val="BodyTextChar"/>
    <w:uiPriority w:val="99"/>
    <w:rsid w:val="00607E89"/>
    <w:pPr>
      <w:jc w:val="both"/>
      <w:textAlignment w:val="auto"/>
    </w:pPr>
    <w:rPr>
      <w:sz w:val="24"/>
      <w:szCs w:val="24"/>
    </w:rPr>
  </w:style>
  <w:style w:type="character" w:customStyle="1" w:styleId="BodyTextChar">
    <w:name w:val="Body Text Char"/>
    <w:basedOn w:val="DefaultParagraphFont"/>
    <w:link w:val="BodyText"/>
    <w:uiPriority w:val="99"/>
    <w:locked/>
    <w:rsid w:val="00607E89"/>
    <w:rPr>
      <w:rFonts w:eastAsia="Times New Roman" w:cs="Times New Roman"/>
      <w:sz w:val="24"/>
      <w:szCs w:val="24"/>
    </w:rPr>
  </w:style>
  <w:style w:type="paragraph" w:styleId="BalloonText">
    <w:name w:val="Balloon Text"/>
    <w:basedOn w:val="Normal"/>
    <w:link w:val="BalloonTextChar"/>
    <w:uiPriority w:val="99"/>
    <w:semiHidden/>
    <w:unhideWhenUsed/>
    <w:rsid w:val="00607E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E89"/>
    <w:rPr>
      <w:rFonts w:ascii="Tahoma" w:hAnsi="Tahoma" w:cs="Tahoma"/>
      <w:sz w:val="16"/>
      <w:szCs w:val="16"/>
    </w:rPr>
  </w:style>
  <w:style w:type="paragraph" w:styleId="ListParagraph">
    <w:name w:val="List Paragraph"/>
    <w:basedOn w:val="Normal"/>
    <w:uiPriority w:val="34"/>
    <w:qFormat/>
    <w:rsid w:val="003770E5"/>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3D34D4"/>
    <w:rPr>
      <w:rFonts w:ascii="Arial" w:hAnsi="Arial"/>
      <w:bCs/>
      <w:szCs w:val="20"/>
    </w:rPr>
  </w:style>
  <w:style w:type="character" w:styleId="Hyperlink">
    <w:name w:val="Hyperlink"/>
    <w:rsid w:val="00466D35"/>
    <w:rPr>
      <w:color w:val="0000FF"/>
      <w:u w:val="single"/>
    </w:rPr>
  </w:style>
  <w:style w:type="paragraph" w:styleId="FootnoteText">
    <w:name w:val="footnote text"/>
    <w:basedOn w:val="Normal"/>
    <w:link w:val="FootnoteTextChar"/>
    <w:uiPriority w:val="99"/>
    <w:semiHidden/>
    <w:unhideWhenUsed/>
    <w:rsid w:val="006B2F4E"/>
    <w:rPr>
      <w:sz w:val="20"/>
      <w:szCs w:val="20"/>
    </w:rPr>
  </w:style>
  <w:style w:type="character" w:customStyle="1" w:styleId="FootnoteTextChar">
    <w:name w:val="Footnote Text Char"/>
    <w:basedOn w:val="DefaultParagraphFont"/>
    <w:link w:val="FootnoteText"/>
    <w:uiPriority w:val="99"/>
    <w:semiHidden/>
    <w:rsid w:val="006B2F4E"/>
    <w:rPr>
      <w:sz w:val="20"/>
      <w:szCs w:val="20"/>
    </w:rPr>
  </w:style>
  <w:style w:type="character" w:styleId="FootnoteReference">
    <w:name w:val="footnote reference"/>
    <w:basedOn w:val="DefaultParagraphFont"/>
    <w:uiPriority w:val="99"/>
    <w:semiHidden/>
    <w:unhideWhenUsed/>
    <w:rsid w:val="006B2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c.personalcompensation@tascat.tas.gov.au" TargetMode="External"/><Relationship Id="rId3" Type="http://schemas.openxmlformats.org/officeDocument/2006/relationships/settings" Target="settings.xml"/><Relationship Id="rId7" Type="http://schemas.openxmlformats.org/officeDocument/2006/relationships/hyperlink" Target="http://www.supremecourt.tas.gov.au/publications/practice_direc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898</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Marriott, Eve</dc:creator>
  <cp:lastModifiedBy>Marriott, Eve</cp:lastModifiedBy>
  <cp:revision>5</cp:revision>
  <cp:lastPrinted>2021-11-16T00:37:00Z</cp:lastPrinted>
  <dcterms:created xsi:type="dcterms:W3CDTF">2021-11-02T01:12:00Z</dcterms:created>
  <dcterms:modified xsi:type="dcterms:W3CDTF">2021-11-16T00:37:00Z</dcterms:modified>
</cp:coreProperties>
</file>