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373" w:rsidRDefault="00FD0373" w:rsidP="007931B7">
      <w:pPr>
        <w:rPr>
          <w:rFonts w:ascii="Gill Sans MT" w:hAnsi="Gill Sans MT"/>
          <w:b/>
        </w:rPr>
      </w:pPr>
    </w:p>
    <w:p w:rsidR="007931B7" w:rsidRDefault="007931B7" w:rsidP="007931B7">
      <w:pPr>
        <w:rPr>
          <w:rFonts w:ascii="Gill Sans MT" w:hAnsi="Gill Sans MT"/>
          <w:b/>
        </w:rPr>
      </w:pPr>
      <w:bookmarkStart w:id="0" w:name="_GoBack"/>
      <w:bookmarkEnd w:id="0"/>
      <w:r w:rsidRPr="000931B0">
        <w:rPr>
          <w:rFonts w:ascii="Gill Sans MT" w:hAnsi="Gill Sans MT"/>
          <w:b/>
          <w:noProof/>
        </w:rPr>
        <w:drawing>
          <wp:anchor distT="0" distB="0" distL="114300" distR="114300" simplePos="0" relativeHeight="251659264" behindDoc="0" locked="0" layoutInCell="1" allowOverlap="1" wp14:anchorId="5C313A84" wp14:editId="679EB97C">
            <wp:simplePos x="0" y="0"/>
            <wp:positionH relativeFrom="margin">
              <wp:posOffset>4348480</wp:posOffset>
            </wp:positionH>
            <wp:positionV relativeFrom="paragraph">
              <wp:posOffset>0</wp:posOffset>
            </wp:positionV>
            <wp:extent cx="1767840" cy="757391"/>
            <wp:effectExtent l="0" t="0" r="3810" b="5080"/>
            <wp:wrapSquare wrapText="bothSides"/>
            <wp:docPr id="1" name="Picture 1" descr="C:\Users\JarrodB\AppData\Local\Temp\Temp1_TASCAT_Collection.zip\TASCAT Logo Tagline\TASCAT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odB\AppData\Local\Temp\Temp1_TASCAT_Collection.zip\TASCAT Logo Tagline\TASCAT_Logo_Ta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7840" cy="757391"/>
                    </a:xfrm>
                    <a:prstGeom prst="rect">
                      <a:avLst/>
                    </a:prstGeom>
                    <a:noFill/>
                    <a:ln>
                      <a:noFill/>
                    </a:ln>
                  </pic:spPr>
                </pic:pic>
              </a:graphicData>
            </a:graphic>
          </wp:anchor>
        </w:drawing>
      </w:r>
    </w:p>
    <w:p w:rsidR="007931B7" w:rsidRDefault="007931B7" w:rsidP="007931B7">
      <w:pPr>
        <w:rPr>
          <w:rFonts w:ascii="Gill Sans MT" w:hAnsi="Gill Sans MT"/>
          <w:b/>
        </w:rPr>
      </w:pPr>
    </w:p>
    <w:p w:rsidR="007931B7" w:rsidRDefault="007931B7" w:rsidP="007931B7">
      <w:pPr>
        <w:rPr>
          <w:rFonts w:ascii="Gill Sans MT" w:hAnsi="Gill Sans MT"/>
          <w:b/>
        </w:rPr>
      </w:pPr>
    </w:p>
    <w:p w:rsidR="007931B7" w:rsidRDefault="007931B7" w:rsidP="007931B7">
      <w:pPr>
        <w:rPr>
          <w:rFonts w:ascii="Gill Sans MT" w:hAnsi="Gill Sans MT"/>
          <w:b/>
        </w:rPr>
      </w:pPr>
    </w:p>
    <w:p w:rsidR="007931B7" w:rsidRDefault="007931B7" w:rsidP="007931B7">
      <w:pPr>
        <w:rPr>
          <w:rFonts w:ascii="Gill Sans MT" w:hAnsi="Gill Sans MT"/>
          <w:b/>
        </w:rPr>
      </w:pPr>
    </w:p>
    <w:p w:rsidR="007931B7" w:rsidRPr="006E690C" w:rsidRDefault="007931B7" w:rsidP="007931B7">
      <w:pPr>
        <w:pBdr>
          <w:bottom w:val="single" w:sz="4" w:space="1" w:color="auto"/>
        </w:pBdr>
        <w:rPr>
          <w:rFonts w:ascii="Gill Sans MT" w:hAnsi="Gill Sans MT"/>
          <w:b/>
          <w:sz w:val="44"/>
        </w:rPr>
      </w:pPr>
      <w:r w:rsidRPr="006E690C">
        <w:rPr>
          <w:rFonts w:ascii="Gill Sans MT" w:hAnsi="Gill Sans MT"/>
          <w:b/>
          <w:sz w:val="44"/>
        </w:rPr>
        <w:t xml:space="preserve">INFORMATION SHEET </w:t>
      </w:r>
      <w:r>
        <w:rPr>
          <w:rFonts w:ascii="Gill Sans MT" w:hAnsi="Gill Sans MT"/>
          <w:b/>
          <w:sz w:val="44"/>
        </w:rPr>
        <w:t>7</w:t>
      </w:r>
      <w:r w:rsidR="00215F27">
        <w:rPr>
          <w:rFonts w:ascii="Gill Sans MT" w:hAnsi="Gill Sans MT"/>
          <w:b/>
          <w:sz w:val="44"/>
        </w:rPr>
        <w:t xml:space="preserve"> – Hearing Process</w:t>
      </w:r>
    </w:p>
    <w:p w:rsidR="008C109A" w:rsidRDefault="008C109A" w:rsidP="008C109A">
      <w:pPr>
        <w:jc w:val="both"/>
        <w:rPr>
          <w:rFonts w:ascii="Gill Sans MT" w:hAnsi="Gill Sans MT"/>
          <w:b/>
        </w:rPr>
      </w:pPr>
    </w:p>
    <w:p w:rsidR="008C109A" w:rsidRPr="00FA281B" w:rsidRDefault="008C109A" w:rsidP="007931B7">
      <w:pPr>
        <w:spacing w:before="120" w:after="240"/>
        <w:ind w:left="567" w:hanging="567"/>
        <w:jc w:val="both"/>
        <w:rPr>
          <w:rFonts w:ascii="Gill Sans MT" w:hAnsi="Gill Sans MT"/>
        </w:rPr>
      </w:pPr>
      <w:r>
        <w:rPr>
          <w:rFonts w:ascii="Gill Sans MT" w:hAnsi="Gill Sans MT"/>
          <w:b/>
        </w:rPr>
        <w:t>1.1</w:t>
      </w:r>
      <w:r>
        <w:rPr>
          <w:rFonts w:ascii="Gill Sans MT" w:hAnsi="Gill Sans MT"/>
          <w:b/>
        </w:rPr>
        <w:tab/>
      </w:r>
      <w:r w:rsidRPr="00FA281B">
        <w:rPr>
          <w:rFonts w:ascii="Gill Sans MT" w:hAnsi="Gill Sans MT"/>
        </w:rPr>
        <w:t xml:space="preserve">A full hearing of the Tribunal is the opportunity for all parties to present evidence to an expert panel where that evidence is tested by each party to the proceedings.  The parties may also make submissions to the Tribunal panel as to the outcome they say should take place - having regard to the evidence and submissions.  In preparation for a hearing, the parties must ensure they have complied with all directions of the Tribunal in the preparation and exchange of evidence.  A failure to comply with those directions may result in evidence being disallowed at the hearing.  </w:t>
      </w:r>
    </w:p>
    <w:p w:rsidR="008C109A" w:rsidRPr="00FA281B" w:rsidRDefault="008C109A" w:rsidP="007931B7">
      <w:pPr>
        <w:spacing w:before="120" w:after="240"/>
        <w:ind w:left="567" w:hanging="567"/>
        <w:jc w:val="both"/>
        <w:rPr>
          <w:rFonts w:ascii="Gill Sans MT" w:hAnsi="Gill Sans MT"/>
        </w:rPr>
      </w:pPr>
      <w:r>
        <w:rPr>
          <w:rFonts w:ascii="Gill Sans MT" w:hAnsi="Gill Sans MT"/>
          <w:b/>
        </w:rPr>
        <w:t>1.2</w:t>
      </w:r>
      <w:r>
        <w:rPr>
          <w:rFonts w:ascii="Gill Sans MT" w:hAnsi="Gill Sans MT"/>
          <w:b/>
        </w:rPr>
        <w:tab/>
      </w:r>
      <w:r w:rsidRPr="00FA281B">
        <w:rPr>
          <w:rFonts w:ascii="Gill Sans MT" w:hAnsi="Gill Sans MT"/>
        </w:rPr>
        <w:t xml:space="preserve">The Tribunal is </w:t>
      </w:r>
      <w:r>
        <w:rPr>
          <w:rFonts w:ascii="Gill Sans MT" w:hAnsi="Gill Sans MT"/>
        </w:rPr>
        <w:t xml:space="preserve">usually </w:t>
      </w:r>
      <w:r w:rsidRPr="00FA281B">
        <w:rPr>
          <w:rFonts w:ascii="Gill Sans MT" w:hAnsi="Gill Sans MT"/>
        </w:rPr>
        <w:t xml:space="preserve">constituted by three members.  However, the Tribunal has power to increase or reduce this number.  Ordinarily the </w:t>
      </w:r>
      <w:r>
        <w:rPr>
          <w:rFonts w:ascii="Gill Sans MT" w:hAnsi="Gill Sans MT"/>
        </w:rPr>
        <w:t>Pres</w:t>
      </w:r>
      <w:r w:rsidR="00215F27">
        <w:rPr>
          <w:rFonts w:ascii="Gill Sans MT" w:hAnsi="Gill Sans MT"/>
        </w:rPr>
        <w:t>iding Member will be the President, a</w:t>
      </w:r>
      <w:r>
        <w:rPr>
          <w:rFonts w:ascii="Gill Sans MT" w:hAnsi="Gill Sans MT"/>
        </w:rPr>
        <w:t xml:space="preserve"> Deputy President </w:t>
      </w:r>
      <w:r w:rsidR="00215F27">
        <w:rPr>
          <w:rFonts w:ascii="Gill Sans MT" w:hAnsi="Gill Sans MT"/>
        </w:rPr>
        <w:t xml:space="preserve">or a Member </w:t>
      </w:r>
      <w:r w:rsidRPr="00FA281B">
        <w:rPr>
          <w:rFonts w:ascii="Gill Sans MT" w:hAnsi="Gill Sans MT"/>
        </w:rPr>
        <w:t>of the Tribunal appointed for their legal knowledge and expertise.  Parties must comply with any directions issued by the Presiding Member.  The other members of the Tribunal are selected for their knowledge and expertise in relevant areas to the appeal proceedings.  All parties to the proceedings will be notified in advance of the hearing of the composition of the Tribunal panel.  A party may object to the composition of the Tribunal - in writing, and in accordance with the timetable set out in the notification of the Tribunal panel composition.</w:t>
      </w:r>
    </w:p>
    <w:p w:rsidR="008C109A" w:rsidRPr="00FA281B" w:rsidRDefault="00215F27" w:rsidP="007931B7">
      <w:pPr>
        <w:spacing w:before="120" w:after="240"/>
        <w:ind w:left="567" w:hanging="567"/>
        <w:jc w:val="both"/>
        <w:rPr>
          <w:rFonts w:ascii="Gill Sans MT" w:hAnsi="Gill Sans MT"/>
        </w:rPr>
      </w:pPr>
      <w:r>
        <w:rPr>
          <w:rFonts w:ascii="Gill Sans MT" w:hAnsi="Gill Sans MT"/>
          <w:b/>
        </w:rPr>
        <w:t>1.3</w:t>
      </w:r>
      <w:r w:rsidR="008C109A">
        <w:rPr>
          <w:rFonts w:ascii="Gill Sans MT" w:hAnsi="Gill Sans MT"/>
          <w:b/>
        </w:rPr>
        <w:tab/>
      </w:r>
      <w:r w:rsidR="008C109A">
        <w:rPr>
          <w:rFonts w:ascii="Gill Sans MT" w:hAnsi="Gill Sans MT"/>
        </w:rPr>
        <w:t xml:space="preserve">The parties will present their evidence in the order set out below, </w:t>
      </w:r>
      <w:r w:rsidR="008C109A" w:rsidRPr="00FA281B">
        <w:rPr>
          <w:rFonts w:ascii="Gill Sans MT" w:hAnsi="Gill Sans MT"/>
        </w:rPr>
        <w:t xml:space="preserve">whether </w:t>
      </w:r>
      <w:r w:rsidR="008C109A">
        <w:rPr>
          <w:rFonts w:ascii="Gill Sans MT" w:hAnsi="Gill Sans MT"/>
        </w:rPr>
        <w:t>it is</w:t>
      </w:r>
      <w:r w:rsidR="008C109A" w:rsidRPr="00FA281B">
        <w:rPr>
          <w:rFonts w:ascii="Gill Sans MT" w:hAnsi="Gill Sans MT"/>
        </w:rPr>
        <w:t xml:space="preserve"> in the form of documents and/or documentary evidence or witnesses.  The evidence is </w:t>
      </w:r>
      <w:r w:rsidR="008C109A">
        <w:rPr>
          <w:rFonts w:ascii="Gill Sans MT" w:hAnsi="Gill Sans MT"/>
        </w:rPr>
        <w:t>then tested by each other party.  O</w:t>
      </w:r>
      <w:r w:rsidR="008C109A" w:rsidRPr="00FA281B">
        <w:rPr>
          <w:rFonts w:ascii="Gill Sans MT" w:hAnsi="Gill Sans MT"/>
        </w:rPr>
        <w:t>nce that process is concluded, each party is afforded an opportunity to make final submissions or arguments to the Tribunal panel. The order of making submissions is the reverse order to that which was adopted for giving evidence.</w:t>
      </w:r>
    </w:p>
    <w:p w:rsidR="008C109A" w:rsidRPr="00FA281B" w:rsidRDefault="008C109A" w:rsidP="007931B7">
      <w:pPr>
        <w:spacing w:before="120" w:after="240"/>
        <w:ind w:left="567" w:hanging="567"/>
        <w:jc w:val="both"/>
        <w:rPr>
          <w:rFonts w:ascii="Gill Sans MT" w:hAnsi="Gill Sans MT"/>
        </w:rPr>
      </w:pPr>
      <w:r w:rsidRPr="00FA281B">
        <w:rPr>
          <w:rFonts w:ascii="Gill Sans MT" w:hAnsi="Gill Sans MT"/>
        </w:rPr>
        <w:tab/>
        <w:t>The order for giving evidence</w:t>
      </w:r>
      <w:r>
        <w:rPr>
          <w:rFonts w:ascii="Gill Sans MT" w:hAnsi="Gill Sans MT"/>
        </w:rPr>
        <w:t xml:space="preserve"> in appeals</w:t>
      </w:r>
      <w:r w:rsidRPr="00FA281B">
        <w:rPr>
          <w:rFonts w:ascii="Gill Sans MT" w:hAnsi="Gill Sans MT"/>
        </w:rPr>
        <w:t xml:space="preserve"> is as follows:-</w:t>
      </w:r>
    </w:p>
    <w:p w:rsidR="008C109A" w:rsidRPr="00FA281B" w:rsidRDefault="008C109A" w:rsidP="007931B7">
      <w:pPr>
        <w:numPr>
          <w:ilvl w:val="0"/>
          <w:numId w:val="2"/>
        </w:numPr>
        <w:spacing w:before="120" w:after="240" w:line="276" w:lineRule="auto"/>
        <w:jc w:val="both"/>
        <w:rPr>
          <w:rFonts w:ascii="Gill Sans MT" w:hAnsi="Gill Sans MT"/>
        </w:rPr>
      </w:pPr>
      <w:r w:rsidRPr="00FA281B">
        <w:rPr>
          <w:rFonts w:ascii="Gill Sans MT" w:hAnsi="Gill Sans MT"/>
        </w:rPr>
        <w:t>The first party to present their evidence will be the party who initiated the original decision making proceedings which gave rise to the appeal. In planning appeals it will be the developer who applied for a development permit to the Council or authority. In other appeals, it is the Applicant who applied for a decision from the relevant decision making body.</w:t>
      </w:r>
    </w:p>
    <w:p w:rsidR="008C109A" w:rsidRPr="00FA281B" w:rsidRDefault="008C109A" w:rsidP="007931B7">
      <w:pPr>
        <w:numPr>
          <w:ilvl w:val="0"/>
          <w:numId w:val="2"/>
        </w:numPr>
        <w:spacing w:before="120" w:after="240" w:line="276" w:lineRule="auto"/>
        <w:jc w:val="both"/>
        <w:rPr>
          <w:rFonts w:ascii="Gill Sans MT" w:hAnsi="Gill Sans MT"/>
        </w:rPr>
      </w:pPr>
      <w:r w:rsidRPr="00FA281B">
        <w:rPr>
          <w:rFonts w:ascii="Gill Sans MT" w:hAnsi="Gill Sans MT"/>
        </w:rPr>
        <w:t>The second party to present their case will be the original decision maker.  In planning appeals, it will be the Council or authority that made the original decision on an Application for Use or Development or permit.  In all other appeals, it is the body or person charged with the decision making responsibility.</w:t>
      </w:r>
    </w:p>
    <w:p w:rsidR="008C109A" w:rsidRPr="00FA281B" w:rsidRDefault="008C109A" w:rsidP="007931B7">
      <w:pPr>
        <w:numPr>
          <w:ilvl w:val="0"/>
          <w:numId w:val="2"/>
        </w:numPr>
        <w:spacing w:before="120" w:after="240" w:line="276" w:lineRule="auto"/>
        <w:jc w:val="both"/>
        <w:rPr>
          <w:rFonts w:ascii="Gill Sans MT" w:hAnsi="Gill Sans MT"/>
        </w:rPr>
      </w:pPr>
      <w:r w:rsidRPr="00FA281B">
        <w:rPr>
          <w:rFonts w:ascii="Gill Sans MT" w:hAnsi="Gill Sans MT"/>
        </w:rPr>
        <w:t xml:space="preserve">Any third party Appellants or joined parties. </w:t>
      </w:r>
    </w:p>
    <w:p w:rsidR="008C109A" w:rsidRDefault="008C109A" w:rsidP="007931B7">
      <w:pPr>
        <w:spacing w:before="120" w:after="240"/>
        <w:ind w:firstLine="567"/>
        <w:jc w:val="both"/>
        <w:rPr>
          <w:rFonts w:ascii="Gill Sans MT" w:hAnsi="Gill Sans MT"/>
        </w:rPr>
      </w:pPr>
      <w:r w:rsidRPr="00FA281B">
        <w:rPr>
          <w:rFonts w:ascii="Gill Sans MT" w:hAnsi="Gill Sans MT"/>
        </w:rPr>
        <w:t>The order of making submissions is the reverse of the above.</w:t>
      </w:r>
    </w:p>
    <w:p w:rsidR="008C109A" w:rsidRDefault="008C109A" w:rsidP="007931B7">
      <w:pPr>
        <w:tabs>
          <w:tab w:val="left" w:pos="567"/>
        </w:tabs>
        <w:spacing w:before="120" w:after="240"/>
        <w:jc w:val="both"/>
        <w:rPr>
          <w:rFonts w:ascii="Gill Sans MT" w:hAnsi="Gill Sans MT"/>
        </w:rPr>
      </w:pPr>
      <w:r>
        <w:rPr>
          <w:rFonts w:ascii="Gill Sans MT" w:hAnsi="Gill Sans MT"/>
        </w:rPr>
        <w:tab/>
        <w:t>The order for giving evidence in originating applications is as follows:</w:t>
      </w:r>
    </w:p>
    <w:p w:rsidR="008C109A" w:rsidRPr="007931B7" w:rsidRDefault="008C109A" w:rsidP="007931B7">
      <w:pPr>
        <w:pStyle w:val="ListParagraph"/>
        <w:numPr>
          <w:ilvl w:val="0"/>
          <w:numId w:val="4"/>
        </w:numPr>
        <w:spacing w:before="120" w:after="240"/>
        <w:ind w:left="1134" w:hanging="567"/>
        <w:contextualSpacing w:val="0"/>
        <w:jc w:val="both"/>
        <w:rPr>
          <w:rFonts w:ascii="Gill Sans MT" w:hAnsi="Gill Sans MT"/>
        </w:rPr>
      </w:pPr>
      <w:r w:rsidRPr="007931B7">
        <w:rPr>
          <w:rFonts w:ascii="Gill Sans MT" w:hAnsi="Gill Sans MT"/>
        </w:rPr>
        <w:lastRenderedPageBreak/>
        <w:t>The person who has brought the application will go first</w:t>
      </w:r>
    </w:p>
    <w:p w:rsidR="008C109A" w:rsidRPr="007931B7" w:rsidRDefault="008C109A" w:rsidP="007931B7">
      <w:pPr>
        <w:pStyle w:val="ListParagraph"/>
        <w:numPr>
          <w:ilvl w:val="0"/>
          <w:numId w:val="4"/>
        </w:numPr>
        <w:spacing w:before="120" w:after="240"/>
        <w:ind w:left="1134" w:hanging="567"/>
        <w:contextualSpacing w:val="0"/>
        <w:jc w:val="both"/>
        <w:rPr>
          <w:rFonts w:ascii="Gill Sans MT" w:hAnsi="Gill Sans MT"/>
        </w:rPr>
      </w:pPr>
      <w:r w:rsidRPr="007931B7">
        <w:rPr>
          <w:rFonts w:ascii="Gill Sans MT" w:hAnsi="Gill Sans MT"/>
        </w:rPr>
        <w:t>Any respondents will then follow</w:t>
      </w:r>
    </w:p>
    <w:p w:rsidR="008C109A" w:rsidRPr="007931B7" w:rsidRDefault="008C109A" w:rsidP="007931B7">
      <w:pPr>
        <w:pStyle w:val="ListParagraph"/>
        <w:numPr>
          <w:ilvl w:val="0"/>
          <w:numId w:val="4"/>
        </w:numPr>
        <w:spacing w:before="120" w:after="240"/>
        <w:ind w:left="1134" w:hanging="567"/>
        <w:contextualSpacing w:val="0"/>
        <w:jc w:val="both"/>
        <w:rPr>
          <w:rFonts w:ascii="Gill Sans MT" w:hAnsi="Gill Sans MT"/>
        </w:rPr>
      </w:pPr>
      <w:r w:rsidRPr="007931B7">
        <w:rPr>
          <w:rFonts w:ascii="Gill Sans MT" w:hAnsi="Gill Sans MT"/>
        </w:rPr>
        <w:t>Any joined parties will then come last.</w:t>
      </w:r>
    </w:p>
    <w:p w:rsidR="008C109A" w:rsidRPr="00FA281B" w:rsidRDefault="008C109A" w:rsidP="007931B7">
      <w:pPr>
        <w:tabs>
          <w:tab w:val="left" w:pos="567"/>
        </w:tabs>
        <w:spacing w:before="120" w:after="240"/>
        <w:jc w:val="both"/>
        <w:rPr>
          <w:rFonts w:ascii="Gill Sans MT" w:hAnsi="Gill Sans MT"/>
        </w:rPr>
      </w:pPr>
      <w:r>
        <w:rPr>
          <w:rFonts w:ascii="Gill Sans MT" w:hAnsi="Gill Sans MT"/>
        </w:rPr>
        <w:tab/>
        <w:t>The order of making submissions is then done in reverse order.</w:t>
      </w:r>
    </w:p>
    <w:p w:rsidR="008C109A" w:rsidRPr="00FA281B" w:rsidRDefault="008C109A" w:rsidP="007931B7">
      <w:pPr>
        <w:spacing w:before="120" w:after="240"/>
        <w:ind w:left="567" w:hanging="567"/>
        <w:jc w:val="both"/>
        <w:rPr>
          <w:rFonts w:ascii="Gill Sans MT" w:hAnsi="Gill Sans MT"/>
        </w:rPr>
      </w:pPr>
      <w:r>
        <w:rPr>
          <w:rFonts w:ascii="Gill Sans MT" w:hAnsi="Gill Sans MT"/>
          <w:b/>
        </w:rPr>
        <w:t>1.</w:t>
      </w:r>
      <w:r w:rsidR="00215F27">
        <w:rPr>
          <w:rFonts w:ascii="Gill Sans MT" w:hAnsi="Gill Sans MT"/>
          <w:b/>
        </w:rPr>
        <w:t>4</w:t>
      </w:r>
      <w:r>
        <w:rPr>
          <w:rFonts w:ascii="Gill Sans MT" w:hAnsi="Gill Sans MT"/>
        </w:rPr>
        <w:tab/>
      </w:r>
      <w:r w:rsidRPr="00FA281B">
        <w:rPr>
          <w:rFonts w:ascii="Gill Sans MT" w:hAnsi="Gill Sans MT"/>
        </w:rPr>
        <w:t xml:space="preserve">The giving of evidence and the making of submissions can be confusing to persons unfamiliar with legal proceedings. Please ensure that you have regard to the Tribunal’s </w:t>
      </w:r>
      <w:r w:rsidR="00C06F5C">
        <w:rPr>
          <w:rFonts w:ascii="Gill Sans MT" w:hAnsi="Gill Sans MT"/>
        </w:rPr>
        <w:t>Information Sheet 6.</w:t>
      </w:r>
    </w:p>
    <w:p w:rsidR="008C109A" w:rsidRPr="00FA281B" w:rsidRDefault="008C109A" w:rsidP="007931B7">
      <w:pPr>
        <w:spacing w:before="120" w:after="240"/>
        <w:ind w:left="567" w:hanging="567"/>
        <w:jc w:val="both"/>
        <w:rPr>
          <w:rFonts w:ascii="Gill Sans MT" w:hAnsi="Gill Sans MT"/>
        </w:rPr>
      </w:pPr>
      <w:r>
        <w:rPr>
          <w:rFonts w:ascii="Gill Sans MT" w:hAnsi="Gill Sans MT"/>
          <w:b/>
        </w:rPr>
        <w:t>1.</w:t>
      </w:r>
      <w:r w:rsidR="00215F27">
        <w:rPr>
          <w:rFonts w:ascii="Gill Sans MT" w:hAnsi="Gill Sans MT"/>
          <w:b/>
        </w:rPr>
        <w:t>5</w:t>
      </w:r>
      <w:r>
        <w:rPr>
          <w:rFonts w:ascii="Gill Sans MT" w:hAnsi="Gill Sans MT"/>
        </w:rPr>
        <w:tab/>
      </w:r>
      <w:r w:rsidRPr="00FA281B">
        <w:rPr>
          <w:rFonts w:ascii="Gill Sans MT" w:hAnsi="Gill Sans MT"/>
        </w:rPr>
        <w:t>Each party determines the order of its witnesses. The witness should move to the designated place in the hearing room.  They should state their full name, address and occupation and confirm that they have prepared their statement of evidence (and, if necessary, correct it). Witnesses may not elaborate/expand on their statement without permission of the Tribunal as they should have already disclosed all relevant information in the statement.  Seeking to expand on a statement of evidence during the hearing risks an adjournment and a costs order against that party.</w:t>
      </w:r>
    </w:p>
    <w:p w:rsidR="008C109A" w:rsidRPr="00FA281B" w:rsidRDefault="008C109A" w:rsidP="007931B7">
      <w:pPr>
        <w:spacing w:before="120" w:after="240"/>
        <w:ind w:left="567" w:hanging="567"/>
        <w:jc w:val="both"/>
        <w:rPr>
          <w:rFonts w:ascii="Gill Sans MT" w:hAnsi="Gill Sans MT" w:cs="Calibri"/>
          <w:b/>
        </w:rPr>
      </w:pPr>
      <w:r>
        <w:rPr>
          <w:rFonts w:ascii="Gill Sans MT" w:hAnsi="Gill Sans MT"/>
          <w:b/>
        </w:rPr>
        <w:t>1.</w:t>
      </w:r>
      <w:r w:rsidR="00215F27">
        <w:rPr>
          <w:rFonts w:ascii="Gill Sans MT" w:hAnsi="Gill Sans MT"/>
          <w:b/>
        </w:rPr>
        <w:t>6</w:t>
      </w:r>
      <w:r>
        <w:rPr>
          <w:rFonts w:ascii="Gill Sans MT" w:hAnsi="Gill Sans MT"/>
        </w:rPr>
        <w:tab/>
      </w:r>
      <w:r w:rsidRPr="00FA281B">
        <w:rPr>
          <w:rFonts w:ascii="Gill Sans MT" w:hAnsi="Gill Sans MT"/>
        </w:rPr>
        <w:t xml:space="preserve">After the witness has confirmed their statement of evidence, the representatives of opposing parties may question that witness. Cross-examination must be undertaken by a nominated representative of the party in question.  Some questions may not be allowable and you should follow any direction given by the Tribunal panel in that regard.  Cross-examination is the asking of questions; it is not an opportunity make comments or statements.  </w:t>
      </w:r>
    </w:p>
    <w:p w:rsidR="008C109A" w:rsidRPr="00FA281B" w:rsidRDefault="00215F27" w:rsidP="007931B7">
      <w:pPr>
        <w:spacing w:before="120" w:after="240"/>
        <w:ind w:left="567" w:hanging="567"/>
        <w:jc w:val="both"/>
        <w:rPr>
          <w:rFonts w:ascii="Gill Sans MT" w:hAnsi="Gill Sans MT" w:cs="Calibri"/>
        </w:rPr>
      </w:pPr>
      <w:r>
        <w:rPr>
          <w:rFonts w:ascii="Gill Sans MT" w:hAnsi="Gill Sans MT" w:cs="Calibri"/>
          <w:b/>
        </w:rPr>
        <w:t>1.7</w:t>
      </w:r>
      <w:r w:rsidR="008C109A" w:rsidRPr="005C41B6">
        <w:rPr>
          <w:rFonts w:ascii="Gill Sans MT" w:hAnsi="Gill Sans MT" w:cs="Calibri"/>
          <w:b/>
        </w:rPr>
        <w:tab/>
      </w:r>
      <w:r w:rsidR="008C109A" w:rsidRPr="005C41B6">
        <w:rPr>
          <w:rFonts w:ascii="Gill Sans MT" w:hAnsi="Gill Sans MT" w:cs="Calibri"/>
        </w:rPr>
        <w:t>A party requiring any expert for cross-examination must give written notice at least three days before the hearing</w:t>
      </w:r>
      <w:r w:rsidR="008C109A" w:rsidRPr="005C41B6">
        <w:rPr>
          <w:rFonts w:ascii="Gill Sans MT" w:hAnsi="Gill Sans MT"/>
        </w:rPr>
        <w:t>.</w:t>
      </w:r>
    </w:p>
    <w:p w:rsidR="008C109A" w:rsidRPr="00FA281B" w:rsidRDefault="00215F27" w:rsidP="007931B7">
      <w:pPr>
        <w:spacing w:before="120" w:after="240"/>
        <w:ind w:left="567" w:hanging="567"/>
        <w:jc w:val="both"/>
        <w:rPr>
          <w:rFonts w:ascii="Gill Sans MT" w:hAnsi="Gill Sans MT"/>
        </w:rPr>
      </w:pPr>
      <w:r>
        <w:rPr>
          <w:rFonts w:ascii="Gill Sans MT" w:hAnsi="Gill Sans MT"/>
          <w:b/>
        </w:rPr>
        <w:t>1.8</w:t>
      </w:r>
      <w:r w:rsidR="008C109A">
        <w:rPr>
          <w:rFonts w:ascii="Gill Sans MT" w:hAnsi="Gill Sans MT"/>
          <w:b/>
        </w:rPr>
        <w:tab/>
      </w:r>
      <w:r w:rsidR="008C109A" w:rsidRPr="00FA281B">
        <w:rPr>
          <w:rFonts w:ascii="Gill Sans MT" w:hAnsi="Gill Sans MT"/>
        </w:rPr>
        <w:t xml:space="preserve">When all cross-examination is concluded by all parties and the Tribunal, the representative who called the witness is entitled to re-examine that witness. Re-examination is only to clarify issues that were raised during cross-examination and not an opportunity to raise new matters.  </w:t>
      </w:r>
    </w:p>
    <w:p w:rsidR="008C109A" w:rsidRDefault="00215F27" w:rsidP="007931B7">
      <w:pPr>
        <w:spacing w:before="120" w:after="240"/>
        <w:ind w:left="567" w:hanging="567"/>
        <w:jc w:val="both"/>
        <w:rPr>
          <w:rFonts w:ascii="Gill Sans MT" w:hAnsi="Gill Sans MT"/>
        </w:rPr>
      </w:pPr>
      <w:r>
        <w:rPr>
          <w:rFonts w:ascii="Gill Sans MT" w:hAnsi="Gill Sans MT"/>
          <w:b/>
        </w:rPr>
        <w:t>1.9</w:t>
      </w:r>
      <w:r w:rsidR="008C109A">
        <w:rPr>
          <w:rFonts w:ascii="Gill Sans MT" w:hAnsi="Gill Sans MT"/>
        </w:rPr>
        <w:tab/>
        <w:t>At the conclusion of evidence in an appeal, and prior to presenting closing submissions, parties are to hand up a written summary of their closing submissions (See P</w:t>
      </w:r>
      <w:r>
        <w:rPr>
          <w:rFonts w:ascii="Gill Sans MT" w:hAnsi="Gill Sans MT"/>
        </w:rPr>
        <w:t xml:space="preserve">ractice </w:t>
      </w:r>
      <w:r w:rsidR="008C109A">
        <w:rPr>
          <w:rFonts w:ascii="Gill Sans MT" w:hAnsi="Gill Sans MT"/>
        </w:rPr>
        <w:t>D</w:t>
      </w:r>
      <w:r>
        <w:rPr>
          <w:rFonts w:ascii="Gill Sans MT" w:hAnsi="Gill Sans MT"/>
        </w:rPr>
        <w:t>irection 4 at</w:t>
      </w:r>
      <w:r w:rsidR="005C41B6">
        <w:rPr>
          <w:rFonts w:ascii="Gill Sans MT" w:hAnsi="Gill Sans MT"/>
        </w:rPr>
        <w:t xml:space="preserve"> 4.10</w:t>
      </w:r>
      <w:r w:rsidR="008C109A">
        <w:rPr>
          <w:rFonts w:ascii="Gill Sans MT" w:hAnsi="Gill Sans MT"/>
        </w:rPr>
        <w:t xml:space="preserve">). </w:t>
      </w:r>
      <w:r w:rsidR="008C109A" w:rsidRPr="005C41B6">
        <w:rPr>
          <w:rFonts w:ascii="Gill Sans MT" w:hAnsi="Gill Sans MT"/>
        </w:rPr>
        <w:t>An electronic copy is to be forwarded to the Tribunal at the conclusion of the hearing.</w:t>
      </w:r>
    </w:p>
    <w:p w:rsidR="008C109A" w:rsidRDefault="008C109A" w:rsidP="007931B7">
      <w:pPr>
        <w:spacing w:before="120" w:after="240"/>
        <w:ind w:left="567" w:hanging="567"/>
        <w:jc w:val="both"/>
        <w:rPr>
          <w:rFonts w:ascii="Gill Sans MT" w:hAnsi="Gill Sans MT"/>
        </w:rPr>
      </w:pPr>
      <w:r>
        <w:rPr>
          <w:rFonts w:ascii="Gill Sans MT" w:hAnsi="Gill Sans MT"/>
          <w:b/>
        </w:rPr>
        <w:tab/>
      </w:r>
      <w:r w:rsidRPr="00E52DD8">
        <w:rPr>
          <w:rFonts w:ascii="Gill Sans MT" w:hAnsi="Gill Sans MT"/>
        </w:rPr>
        <w:t>It is n</w:t>
      </w:r>
      <w:r>
        <w:rPr>
          <w:rFonts w:ascii="Gill Sans MT" w:hAnsi="Gill Sans MT"/>
        </w:rPr>
        <w:t xml:space="preserve">ot necessary for a party to read that material back to the Tribunal, but it will be assisted by the presentation of oral submissions going to be content of the written materials.  </w:t>
      </w:r>
    </w:p>
    <w:p w:rsidR="008C109A" w:rsidRPr="00E52DD8" w:rsidRDefault="008C109A" w:rsidP="007931B7">
      <w:pPr>
        <w:spacing w:before="120" w:after="240"/>
        <w:ind w:left="567" w:hanging="567"/>
        <w:jc w:val="both"/>
        <w:rPr>
          <w:rFonts w:ascii="Gill Sans MT" w:hAnsi="Gill Sans MT"/>
        </w:rPr>
      </w:pPr>
      <w:r>
        <w:rPr>
          <w:rFonts w:ascii="Gill Sans MT" w:hAnsi="Gill Sans MT"/>
        </w:rPr>
        <w:tab/>
        <w:t>The party who presents oral submissions first will have a right of reply to submissions made against it.</w:t>
      </w:r>
    </w:p>
    <w:p w:rsidR="008C109A" w:rsidRPr="00FA281B" w:rsidRDefault="008C109A" w:rsidP="007931B7">
      <w:pPr>
        <w:spacing w:before="120" w:after="240"/>
        <w:ind w:left="567" w:hanging="567"/>
        <w:jc w:val="both"/>
        <w:rPr>
          <w:rFonts w:ascii="Gill Sans MT" w:hAnsi="Gill Sans MT"/>
        </w:rPr>
      </w:pPr>
      <w:r>
        <w:rPr>
          <w:rFonts w:ascii="Gill Sans MT" w:hAnsi="Gill Sans MT"/>
          <w:b/>
        </w:rPr>
        <w:t>1.1</w:t>
      </w:r>
      <w:r w:rsidR="00215F27">
        <w:rPr>
          <w:rFonts w:ascii="Gill Sans MT" w:hAnsi="Gill Sans MT"/>
          <w:b/>
        </w:rPr>
        <w:t>0</w:t>
      </w:r>
      <w:r>
        <w:rPr>
          <w:rFonts w:ascii="Gill Sans MT" w:hAnsi="Gill Sans MT"/>
        </w:rPr>
        <w:tab/>
        <w:t>If a party seeks to rely upon a decision of a court or tribunal in making submissions, there is a Practice Direction requiring that a list of the authorities to be referred to is to be filed with the Tribunal and served upon the other parties to the hearing no less than 48 hours prior to the hearing. (See P</w:t>
      </w:r>
      <w:r w:rsidR="00215F27">
        <w:rPr>
          <w:rFonts w:ascii="Gill Sans MT" w:hAnsi="Gill Sans MT"/>
        </w:rPr>
        <w:t xml:space="preserve">ractice </w:t>
      </w:r>
      <w:r>
        <w:rPr>
          <w:rFonts w:ascii="Gill Sans MT" w:hAnsi="Gill Sans MT"/>
        </w:rPr>
        <w:t>D</w:t>
      </w:r>
      <w:r w:rsidR="00215F27">
        <w:rPr>
          <w:rFonts w:ascii="Gill Sans MT" w:hAnsi="Gill Sans MT"/>
        </w:rPr>
        <w:t>irection 4 at</w:t>
      </w:r>
      <w:r w:rsidR="005C41B6">
        <w:rPr>
          <w:rFonts w:ascii="Gill Sans MT" w:hAnsi="Gill Sans MT"/>
        </w:rPr>
        <w:t xml:space="preserve"> 4.11</w:t>
      </w:r>
      <w:r>
        <w:rPr>
          <w:rFonts w:ascii="Gill Sans MT" w:hAnsi="Gill Sans MT"/>
        </w:rPr>
        <w:t xml:space="preserve">) </w:t>
      </w:r>
      <w:r w:rsidRPr="005C41B6">
        <w:rPr>
          <w:rFonts w:ascii="Gill Sans MT" w:hAnsi="Gill Sans MT"/>
        </w:rPr>
        <w:t>The list is to be provided electronically and include full citations and an html link to the cited reports.  Hard copies of authorities are no longer required to be filed or served.</w:t>
      </w:r>
      <w:r w:rsidRPr="00FA281B">
        <w:rPr>
          <w:rFonts w:ascii="Gill Sans MT" w:hAnsi="Gill Sans MT"/>
        </w:rPr>
        <w:t xml:space="preserve">   </w:t>
      </w:r>
    </w:p>
    <w:p w:rsidR="008C109A" w:rsidRPr="00FA281B" w:rsidRDefault="00344A72" w:rsidP="007931B7">
      <w:pPr>
        <w:spacing w:before="120" w:after="240"/>
        <w:ind w:left="567" w:hanging="567"/>
        <w:jc w:val="both"/>
        <w:rPr>
          <w:rFonts w:ascii="Gill Sans MT" w:hAnsi="Gill Sans MT"/>
        </w:rPr>
      </w:pPr>
      <w:r>
        <w:rPr>
          <w:rFonts w:ascii="Gill Sans MT" w:hAnsi="Gill Sans MT"/>
          <w:b/>
        </w:rPr>
        <w:t>1.1</w:t>
      </w:r>
      <w:r w:rsidR="00215F27">
        <w:rPr>
          <w:rFonts w:ascii="Gill Sans MT" w:hAnsi="Gill Sans MT"/>
          <w:b/>
        </w:rPr>
        <w:t>1</w:t>
      </w:r>
      <w:r>
        <w:rPr>
          <w:rFonts w:ascii="Gill Sans MT" w:hAnsi="Gill Sans MT"/>
        </w:rPr>
        <w:tab/>
      </w:r>
      <w:r w:rsidR="008C109A" w:rsidRPr="00FA281B">
        <w:rPr>
          <w:rFonts w:ascii="Gill Sans MT" w:hAnsi="Gill Sans MT"/>
        </w:rPr>
        <w:t xml:space="preserve">The Tribunal ordinarily conducts a site inspection of the subject property as part of the hearing process.  This is ordinarily done without parties or their representatives present. However, if the parties wish to specifically ensure that the Tribunal members have regard to certain </w:t>
      </w:r>
      <w:r w:rsidR="008C109A" w:rsidRPr="00FA281B">
        <w:rPr>
          <w:rFonts w:ascii="Gill Sans MT" w:hAnsi="Gill Sans MT"/>
        </w:rPr>
        <w:lastRenderedPageBreak/>
        <w:t xml:space="preserve">matters on the subject site, the parties can arrange for a view with the Tribunal members and the representatives of the parties.  </w:t>
      </w:r>
      <w:r w:rsidR="008C109A" w:rsidRPr="005C41B6">
        <w:rPr>
          <w:rFonts w:ascii="Gill Sans MT" w:hAnsi="Gill Sans MT"/>
        </w:rPr>
        <w:t xml:space="preserve">The Tribunal and all parties should be notified of this at </w:t>
      </w:r>
      <w:r w:rsidR="005C41B6">
        <w:rPr>
          <w:rFonts w:ascii="Gill Sans MT" w:hAnsi="Gill Sans MT"/>
        </w:rPr>
        <w:t>least 7</w:t>
      </w:r>
      <w:r w:rsidR="00215F27">
        <w:rPr>
          <w:rFonts w:ascii="Gill Sans MT" w:hAnsi="Gill Sans MT"/>
        </w:rPr>
        <w:t xml:space="preserve"> days before the hearing (see Practice Direction 4 at</w:t>
      </w:r>
      <w:r w:rsidR="005C41B6">
        <w:rPr>
          <w:rFonts w:ascii="Gill Sans MT" w:hAnsi="Gill Sans MT"/>
        </w:rPr>
        <w:t xml:space="preserve"> 4.12)</w:t>
      </w:r>
    </w:p>
    <w:p w:rsidR="008C109A" w:rsidRPr="00FA281B" w:rsidRDefault="00344A72" w:rsidP="007931B7">
      <w:pPr>
        <w:spacing w:before="120" w:after="240"/>
        <w:ind w:left="567" w:hanging="567"/>
        <w:jc w:val="both"/>
        <w:rPr>
          <w:rFonts w:ascii="Gill Sans MT" w:hAnsi="Gill Sans MT"/>
        </w:rPr>
      </w:pPr>
      <w:r>
        <w:rPr>
          <w:rFonts w:ascii="Gill Sans MT" w:hAnsi="Gill Sans MT"/>
          <w:b/>
        </w:rPr>
        <w:t>1.1</w:t>
      </w:r>
      <w:r w:rsidR="00215F27">
        <w:rPr>
          <w:rFonts w:ascii="Gill Sans MT" w:hAnsi="Gill Sans MT"/>
          <w:b/>
        </w:rPr>
        <w:t>2</w:t>
      </w:r>
      <w:r>
        <w:rPr>
          <w:rFonts w:ascii="Gill Sans MT" w:hAnsi="Gill Sans MT"/>
        </w:rPr>
        <w:tab/>
        <w:t>T</w:t>
      </w:r>
      <w:r w:rsidR="008C109A" w:rsidRPr="00FA281B">
        <w:rPr>
          <w:rFonts w:ascii="Gill Sans MT" w:hAnsi="Gill Sans MT"/>
        </w:rPr>
        <w:t xml:space="preserve">he Tribunal is required to deliver its ruling in writing. The Tribunal endeavours to have a decision delivered to all parties </w:t>
      </w:r>
      <w:r w:rsidR="008C109A">
        <w:rPr>
          <w:rFonts w:ascii="Gill Sans MT" w:hAnsi="Gill Sans MT"/>
        </w:rPr>
        <w:t>within 28</w:t>
      </w:r>
      <w:r w:rsidR="008C109A" w:rsidRPr="00FA281B">
        <w:rPr>
          <w:rFonts w:ascii="Gill Sans MT" w:hAnsi="Gill Sans MT"/>
        </w:rPr>
        <w:t xml:space="preserve"> days from the conclusion of the hearing - depending upon the complexity of the matter and the amount of evidence adduced. The final decision will also include a standard order as to costs</w:t>
      </w:r>
      <w:r>
        <w:rPr>
          <w:rFonts w:ascii="Gill Sans MT" w:hAnsi="Gill Sans MT"/>
        </w:rPr>
        <w:t>.</w:t>
      </w:r>
      <w:r w:rsidR="008C109A" w:rsidRPr="00FA281B">
        <w:rPr>
          <w:rFonts w:ascii="Gill Sans MT" w:hAnsi="Gill Sans MT"/>
        </w:rPr>
        <w:t xml:space="preserve"> </w:t>
      </w:r>
    </w:p>
    <w:p w:rsidR="008C109A" w:rsidRPr="00FA281B" w:rsidRDefault="00344A72" w:rsidP="007931B7">
      <w:pPr>
        <w:spacing w:before="120" w:after="240"/>
        <w:ind w:left="567" w:hanging="567"/>
        <w:jc w:val="both"/>
        <w:rPr>
          <w:rFonts w:ascii="Gill Sans MT" w:hAnsi="Gill Sans MT"/>
        </w:rPr>
      </w:pPr>
      <w:r>
        <w:rPr>
          <w:rFonts w:ascii="Gill Sans MT" w:hAnsi="Gill Sans MT"/>
          <w:b/>
        </w:rPr>
        <w:t>1.1</w:t>
      </w:r>
      <w:r w:rsidR="00215F27">
        <w:rPr>
          <w:rFonts w:ascii="Gill Sans MT" w:hAnsi="Gill Sans MT"/>
          <w:b/>
        </w:rPr>
        <w:t>3</w:t>
      </w:r>
      <w:r>
        <w:rPr>
          <w:rFonts w:ascii="Gill Sans MT" w:hAnsi="Gill Sans MT"/>
        </w:rPr>
        <w:tab/>
      </w:r>
      <w:r w:rsidR="008C109A" w:rsidRPr="00FA281B">
        <w:rPr>
          <w:rFonts w:ascii="Gill Sans MT" w:hAnsi="Gill Sans MT"/>
        </w:rPr>
        <w:t xml:space="preserve">A right of appeal from the Tribunal decision to the Supreme Court is available only on a question of law under Section </w:t>
      </w:r>
      <w:r w:rsidR="005C41B6">
        <w:rPr>
          <w:rFonts w:ascii="Gill Sans MT" w:hAnsi="Gill Sans MT"/>
        </w:rPr>
        <w:t xml:space="preserve">136 of the Tasmanian Civil and </w:t>
      </w:r>
      <w:r w:rsidR="00C06F5C">
        <w:rPr>
          <w:rFonts w:ascii="Gill Sans MT" w:hAnsi="Gill Sans MT"/>
        </w:rPr>
        <w:t>Administrative Tribunal Act 2020</w:t>
      </w:r>
      <w:r w:rsidR="005C41B6">
        <w:rPr>
          <w:rFonts w:ascii="Gill Sans MT" w:hAnsi="Gill Sans MT"/>
        </w:rPr>
        <w:t xml:space="preserve">. </w:t>
      </w:r>
      <w:r w:rsidR="008C109A" w:rsidRPr="00FA281B">
        <w:rPr>
          <w:rFonts w:ascii="Gill Sans MT" w:hAnsi="Gill Sans MT"/>
        </w:rPr>
        <w:t xml:space="preserve"> The time for making an appeal to the Supreme Court </w:t>
      </w:r>
      <w:r>
        <w:rPr>
          <w:rFonts w:ascii="Gill Sans MT" w:hAnsi="Gill Sans MT"/>
        </w:rPr>
        <w:t xml:space="preserve">is </w:t>
      </w:r>
      <w:r w:rsidR="005C41B6">
        <w:rPr>
          <w:rFonts w:ascii="Gill Sans MT" w:hAnsi="Gill Sans MT"/>
        </w:rPr>
        <w:t>30 days after the day on which the decision was made (see Se</w:t>
      </w:r>
      <w:r w:rsidR="00C06F5C">
        <w:rPr>
          <w:rFonts w:ascii="Gill Sans MT" w:hAnsi="Gill Sans MT"/>
        </w:rPr>
        <w:t>ction 137 of the TASCAT Act 2020</w:t>
      </w:r>
      <w:r w:rsidR="005C41B6">
        <w:rPr>
          <w:rFonts w:ascii="Gill Sans MT" w:hAnsi="Gill Sans MT"/>
        </w:rPr>
        <w:t>).</w:t>
      </w:r>
      <w:r w:rsidR="008C109A" w:rsidRPr="00FA281B">
        <w:rPr>
          <w:rFonts w:ascii="Gill Sans MT" w:hAnsi="Gill Sans MT"/>
        </w:rPr>
        <w:t xml:space="preserve"> The Tribunal is not a party to an appeal </w:t>
      </w:r>
      <w:r>
        <w:rPr>
          <w:rFonts w:ascii="Gill Sans MT" w:hAnsi="Gill Sans MT"/>
        </w:rPr>
        <w:t xml:space="preserve">and </w:t>
      </w:r>
      <w:r w:rsidR="008C109A" w:rsidRPr="00FA281B">
        <w:rPr>
          <w:rFonts w:ascii="Gill Sans MT" w:hAnsi="Gill Sans MT"/>
        </w:rPr>
        <w:t>would not seek to be heard in relation to those proceedings</w:t>
      </w:r>
      <w:r w:rsidR="008C109A" w:rsidRPr="00FA281B">
        <w:rPr>
          <w:rFonts w:ascii="Gill Sans MT" w:hAnsi="Gill Sans MT"/>
          <w:i/>
        </w:rPr>
        <w:t>.</w:t>
      </w:r>
    </w:p>
    <w:p w:rsidR="008C109A" w:rsidRPr="00FA281B" w:rsidRDefault="008C109A" w:rsidP="007931B7">
      <w:pPr>
        <w:spacing w:before="120" w:after="240"/>
        <w:jc w:val="both"/>
        <w:rPr>
          <w:rFonts w:ascii="Gill Sans MT" w:hAnsi="Gill Sans MT"/>
        </w:rPr>
      </w:pPr>
    </w:p>
    <w:p w:rsidR="008C109A" w:rsidRPr="00FA281B" w:rsidRDefault="008C109A" w:rsidP="007931B7">
      <w:pPr>
        <w:spacing w:before="120" w:after="240"/>
        <w:jc w:val="both"/>
        <w:rPr>
          <w:rFonts w:ascii="Gill Sans MT" w:hAnsi="Gill Sans MT"/>
        </w:rPr>
      </w:pPr>
    </w:p>
    <w:p w:rsidR="00681C55" w:rsidRDefault="00681C55" w:rsidP="007931B7">
      <w:pPr>
        <w:spacing w:before="120" w:after="240"/>
      </w:pPr>
    </w:p>
    <w:sectPr w:rsidR="00681C55" w:rsidSect="007931B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altName w:val="Gill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7CA0"/>
    <w:multiLevelType w:val="hybridMultilevel"/>
    <w:tmpl w:val="B53EBB0A"/>
    <w:lvl w:ilvl="0" w:tplc="DDA233CC">
      <w:start w:val="1"/>
      <w:numFmt w:val="bullet"/>
      <w:lvlText w:val=""/>
      <w:lvlJc w:val="left"/>
      <w:pPr>
        <w:tabs>
          <w:tab w:val="num" w:pos="1134"/>
        </w:tabs>
        <w:ind w:left="1134" w:hanging="567"/>
      </w:pPr>
      <w:rPr>
        <w:rFonts w:ascii="Wingdings" w:hAnsi="Wingdings"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35B808B2"/>
    <w:multiLevelType w:val="hybridMultilevel"/>
    <w:tmpl w:val="ABE02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962A10"/>
    <w:multiLevelType w:val="hybridMultilevel"/>
    <w:tmpl w:val="C76CFCB0"/>
    <w:lvl w:ilvl="0" w:tplc="0C090001">
      <w:start w:val="1"/>
      <w:numFmt w:val="bullet"/>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767D6BD6"/>
    <w:multiLevelType w:val="hybridMultilevel"/>
    <w:tmpl w:val="A35A4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9A"/>
    <w:rsid w:val="00215F27"/>
    <w:rsid w:val="00344A72"/>
    <w:rsid w:val="00474779"/>
    <w:rsid w:val="005C41B6"/>
    <w:rsid w:val="00681C55"/>
    <w:rsid w:val="007931B7"/>
    <w:rsid w:val="008C109A"/>
    <w:rsid w:val="008D41AD"/>
    <w:rsid w:val="00C06F5C"/>
    <w:rsid w:val="00D62985"/>
    <w:rsid w:val="00FD0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F3558"/>
  <w15:chartTrackingRefBased/>
  <w15:docId w15:val="{69C3E65C-00DB-4EF0-A49E-26301DCA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B7"/>
    <w:pPr>
      <w:ind w:left="720"/>
      <w:contextualSpacing/>
    </w:pPr>
  </w:style>
  <w:style w:type="paragraph" w:styleId="BalloonText">
    <w:name w:val="Balloon Text"/>
    <w:basedOn w:val="Normal"/>
    <w:link w:val="BalloonTextChar"/>
    <w:semiHidden/>
    <w:unhideWhenUsed/>
    <w:rsid w:val="00FD0373"/>
    <w:rPr>
      <w:rFonts w:ascii="Segoe UI" w:hAnsi="Segoe UI" w:cs="Segoe UI"/>
      <w:sz w:val="18"/>
      <w:szCs w:val="18"/>
    </w:rPr>
  </w:style>
  <w:style w:type="character" w:customStyle="1" w:styleId="BalloonTextChar">
    <w:name w:val="Balloon Text Char"/>
    <w:basedOn w:val="DefaultParagraphFont"/>
    <w:link w:val="BalloonText"/>
    <w:semiHidden/>
    <w:rsid w:val="00FD0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Jarrod</dc:creator>
  <cp:keywords/>
  <dc:description/>
  <cp:lastModifiedBy>Barrett, Angela</cp:lastModifiedBy>
  <cp:revision>7</cp:revision>
  <cp:lastPrinted>2021-11-02T05:02:00Z</cp:lastPrinted>
  <dcterms:created xsi:type="dcterms:W3CDTF">2021-08-29T03:46:00Z</dcterms:created>
  <dcterms:modified xsi:type="dcterms:W3CDTF">2021-11-02T05:02:00Z</dcterms:modified>
</cp:coreProperties>
</file>