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28" w:rsidRDefault="00D54928" w:rsidP="00D54928">
      <w:pPr>
        <w:jc w:val="right"/>
        <w:rPr>
          <w:rFonts w:ascii="Gill Sans MT" w:hAnsi="Gill Sans MT"/>
          <w:b/>
        </w:rPr>
      </w:pPr>
      <w:r w:rsidRPr="000931B0">
        <w:rPr>
          <w:rFonts w:ascii="Gill Sans MT" w:hAnsi="Gill Sans MT"/>
          <w:b/>
          <w:noProof/>
          <w:lang w:val="en-GB" w:eastAsia="en-GB"/>
        </w:rPr>
        <w:drawing>
          <wp:inline distT="0" distB="0" distL="0" distR="0" wp14:anchorId="401720D9" wp14:editId="5254087C">
            <wp:extent cx="1767840" cy="757391"/>
            <wp:effectExtent l="0" t="0" r="3810" b="5080"/>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6435" cy="761073"/>
                    </a:xfrm>
                    <a:prstGeom prst="rect">
                      <a:avLst/>
                    </a:prstGeom>
                    <a:noFill/>
                    <a:ln>
                      <a:noFill/>
                    </a:ln>
                  </pic:spPr>
                </pic:pic>
              </a:graphicData>
            </a:graphic>
          </wp:inline>
        </w:drawing>
      </w:r>
    </w:p>
    <w:p w:rsidR="00D54928" w:rsidRDefault="00D54928" w:rsidP="00D54928">
      <w:pPr>
        <w:jc w:val="both"/>
        <w:rPr>
          <w:rFonts w:ascii="Gill Sans MT" w:hAnsi="Gill Sans MT"/>
          <w:b/>
        </w:rPr>
      </w:pPr>
    </w:p>
    <w:p w:rsidR="00334FF5" w:rsidRPr="006E690C" w:rsidRDefault="00334FF5" w:rsidP="00334FF5">
      <w:pPr>
        <w:pBdr>
          <w:bottom w:val="single" w:sz="4" w:space="1" w:color="auto"/>
        </w:pBdr>
        <w:rPr>
          <w:rFonts w:ascii="Gill Sans MT" w:hAnsi="Gill Sans MT"/>
          <w:b/>
          <w:sz w:val="44"/>
        </w:rPr>
      </w:pPr>
      <w:r w:rsidRPr="006E690C">
        <w:rPr>
          <w:rFonts w:ascii="Gill Sans MT" w:hAnsi="Gill Sans MT"/>
          <w:b/>
          <w:sz w:val="44"/>
        </w:rPr>
        <w:t>INFORMATION SHEET 1</w:t>
      </w:r>
      <w:r>
        <w:rPr>
          <w:rFonts w:ascii="Gill Sans MT" w:hAnsi="Gill Sans MT"/>
          <w:b/>
          <w:sz w:val="44"/>
        </w:rPr>
        <w:t>3</w:t>
      </w:r>
      <w:r w:rsidR="00830A6C">
        <w:rPr>
          <w:rFonts w:ascii="Gill Sans MT" w:hAnsi="Gill Sans MT"/>
          <w:b/>
          <w:sz w:val="44"/>
        </w:rPr>
        <w:t xml:space="preserve"> – Biosecurity Act 2019 Proceedings</w:t>
      </w:r>
    </w:p>
    <w:p w:rsidR="00334FF5" w:rsidRDefault="00334FF5" w:rsidP="00334FF5">
      <w:pPr>
        <w:jc w:val="both"/>
        <w:rPr>
          <w:rFonts w:ascii="Gill Sans MT" w:hAnsi="Gill Sans MT"/>
          <w:b/>
        </w:rPr>
      </w:pPr>
    </w:p>
    <w:p w:rsidR="00135834" w:rsidRPr="00334FF5" w:rsidRDefault="00135834" w:rsidP="00334FF5">
      <w:pPr>
        <w:spacing w:before="120" w:after="240"/>
        <w:ind w:left="567" w:hanging="567"/>
        <w:jc w:val="both"/>
        <w:rPr>
          <w:rFonts w:ascii="Gill Sans MT" w:hAnsi="Gill Sans MT"/>
        </w:rPr>
      </w:pPr>
      <w:r w:rsidRPr="00334FF5">
        <w:rPr>
          <w:rFonts w:ascii="Gill Sans MT" w:hAnsi="Gill Sans MT"/>
        </w:rPr>
        <w:t xml:space="preserve">There are two types of proceedings under the </w:t>
      </w:r>
      <w:r w:rsidRPr="00334FF5">
        <w:rPr>
          <w:rFonts w:ascii="Gill Sans MT" w:hAnsi="Gill Sans MT"/>
          <w:i/>
        </w:rPr>
        <w:t>Biosecurity Act 2019</w:t>
      </w:r>
      <w:r w:rsidRPr="00334FF5">
        <w:rPr>
          <w:rFonts w:ascii="Gill Sans MT" w:hAnsi="Gill Sans MT"/>
        </w:rPr>
        <w:t>.</w:t>
      </w:r>
    </w:p>
    <w:p w:rsidR="00135834" w:rsidRPr="00334FF5" w:rsidRDefault="00135834" w:rsidP="00334FF5">
      <w:pPr>
        <w:spacing w:before="120" w:after="240"/>
        <w:jc w:val="both"/>
        <w:rPr>
          <w:rFonts w:ascii="Gill Sans MT" w:hAnsi="Gill Sans MT"/>
        </w:rPr>
      </w:pPr>
      <w:r w:rsidRPr="00334FF5">
        <w:rPr>
          <w:rFonts w:ascii="Gill Sans MT" w:hAnsi="Gill Sans MT"/>
        </w:rPr>
        <w:t xml:space="preserve">Appeals which are identified under </w:t>
      </w:r>
      <w:hyperlink r:id="rId6" w:history="1">
        <w:r w:rsidRPr="00334FF5">
          <w:rPr>
            <w:rStyle w:val="Hyperlink"/>
            <w:rFonts w:ascii="Gill Sans MT" w:hAnsi="Gill Sans MT"/>
            <w:i/>
          </w:rPr>
          <w:t>PART 14 - Legal Proceedings</w:t>
        </w:r>
      </w:hyperlink>
      <w:r w:rsidRPr="00334FF5">
        <w:rPr>
          <w:rFonts w:ascii="Gill Sans MT" w:hAnsi="Gill Sans MT"/>
        </w:rPr>
        <w:t xml:space="preserve">  </w:t>
      </w:r>
      <w:hyperlink r:id="rId7" w:history="1">
        <w:r w:rsidRPr="00334FF5">
          <w:rPr>
            <w:rStyle w:val="Hyperlink"/>
            <w:rFonts w:ascii="Gill Sans MT" w:hAnsi="Gill Sans MT"/>
            <w:i/>
          </w:rPr>
          <w:t>Division 5 - Appeals</w:t>
        </w:r>
      </w:hyperlink>
      <w:r w:rsidRPr="00334FF5">
        <w:rPr>
          <w:rFonts w:ascii="Gill Sans MT" w:hAnsi="Gill Sans MT"/>
        </w:rPr>
        <w:t xml:space="preserve"> of the </w:t>
      </w:r>
      <w:r w:rsidRPr="00334FF5">
        <w:rPr>
          <w:rFonts w:ascii="Gill Sans MT" w:hAnsi="Gill Sans MT"/>
          <w:i/>
        </w:rPr>
        <w:t xml:space="preserve">Biosecurity Act 2019 </w:t>
      </w:r>
    </w:p>
    <w:p w:rsidR="00135834" w:rsidRPr="00334FF5" w:rsidRDefault="00135834" w:rsidP="00334FF5">
      <w:pPr>
        <w:spacing w:before="120" w:after="240"/>
        <w:jc w:val="both"/>
        <w:rPr>
          <w:rFonts w:ascii="Gill Sans MT" w:hAnsi="Gill Sans MT"/>
        </w:rPr>
      </w:pPr>
      <w:r w:rsidRPr="00334FF5">
        <w:rPr>
          <w:rFonts w:ascii="Gill Sans MT" w:hAnsi="Gill Sans MT"/>
        </w:rPr>
        <w:t xml:space="preserve">Applications pursuant to s207 of the </w:t>
      </w:r>
      <w:r w:rsidRPr="00334FF5">
        <w:rPr>
          <w:rFonts w:ascii="Gill Sans MT" w:hAnsi="Gill Sans MT"/>
          <w:i/>
        </w:rPr>
        <w:t>Biosecurity Act 2019.</w:t>
      </w:r>
    </w:p>
    <w:p w:rsidR="00135834" w:rsidRPr="00334FF5" w:rsidRDefault="00135834" w:rsidP="00334FF5">
      <w:pPr>
        <w:spacing w:before="120" w:after="240"/>
        <w:jc w:val="both"/>
        <w:rPr>
          <w:rFonts w:ascii="Gill Sans MT" w:hAnsi="Gill Sans MT"/>
          <w:b/>
        </w:rPr>
      </w:pPr>
      <w:r w:rsidRPr="00334FF5">
        <w:rPr>
          <w:rFonts w:ascii="Gill Sans MT" w:hAnsi="Gill Sans MT"/>
          <w:b/>
        </w:rPr>
        <w:t>FILING AN APPEAL UNDER PART 14 DIVISION 5</w:t>
      </w:r>
    </w:p>
    <w:p w:rsidR="00135834" w:rsidRPr="00334FF5" w:rsidRDefault="00135834" w:rsidP="00334FF5">
      <w:pPr>
        <w:spacing w:before="120" w:after="240"/>
        <w:rPr>
          <w:rFonts w:ascii="Gill Sans MT" w:hAnsi="Gill Sans MT"/>
        </w:rPr>
      </w:pPr>
      <w:r w:rsidRPr="00334FF5">
        <w:rPr>
          <w:rFonts w:ascii="Gill Sans MT" w:hAnsi="Gill Sans MT"/>
        </w:rPr>
        <w:t>The same requirements for any appeals apply to this Act.  See Information Sheets etc</w:t>
      </w:r>
    </w:p>
    <w:p w:rsidR="00135834" w:rsidRPr="00334FF5" w:rsidRDefault="00135834" w:rsidP="00334FF5">
      <w:pPr>
        <w:spacing w:before="120" w:after="240"/>
        <w:jc w:val="both"/>
        <w:rPr>
          <w:rFonts w:ascii="Gill Sans MT" w:hAnsi="Gill Sans MT"/>
          <w:b/>
        </w:rPr>
      </w:pPr>
      <w:r w:rsidRPr="00334FF5">
        <w:rPr>
          <w:rFonts w:ascii="Gill Sans MT" w:hAnsi="Gill Sans MT"/>
          <w:b/>
        </w:rPr>
        <w:t>TIMEFRAMES FOR FILING APPEALS AND SEEKING EXTENSIONS OF TIME.</w:t>
      </w:r>
    </w:p>
    <w:p w:rsidR="00135834" w:rsidRPr="006A12DD" w:rsidRDefault="00135834" w:rsidP="006A12DD">
      <w:pPr>
        <w:spacing w:before="120" w:after="240"/>
        <w:ind w:right="425"/>
        <w:jc w:val="both"/>
        <w:rPr>
          <w:rFonts w:ascii="Gill Sans MT" w:hAnsi="Gill Sans MT"/>
          <w:b/>
        </w:rPr>
      </w:pPr>
      <w:r w:rsidRPr="00334FF5">
        <w:rPr>
          <w:rFonts w:ascii="Gill Sans MT" w:hAnsi="Gill Sans MT"/>
        </w:rPr>
        <w:t xml:space="preserve">S256 of the </w:t>
      </w:r>
      <w:r w:rsidRPr="00334FF5">
        <w:rPr>
          <w:rFonts w:ascii="Gill Sans MT" w:hAnsi="Gill Sans MT"/>
          <w:i/>
        </w:rPr>
        <w:t>Biosecurity Act 2019</w:t>
      </w:r>
      <w:r w:rsidRPr="00334FF5">
        <w:rPr>
          <w:rFonts w:ascii="Gill Sans MT" w:hAnsi="Gill Sans MT"/>
        </w:rPr>
        <w:t xml:space="preserve"> relevantly </w:t>
      </w:r>
      <w:r w:rsidR="006A12DD">
        <w:rPr>
          <w:rFonts w:ascii="Gill Sans MT" w:hAnsi="Gill Sans MT"/>
        </w:rPr>
        <w:t xml:space="preserve">sets the </w:t>
      </w:r>
      <w:r w:rsidRPr="00334FF5">
        <w:rPr>
          <w:rFonts w:ascii="Gill Sans MT" w:hAnsi="Gill Sans MT" w:cs="Calibri"/>
          <w:iCs/>
          <w:color w:val="000000"/>
          <w:shd w:val="clear" w:color="auto" w:fill="FFFFFF"/>
        </w:rPr>
        <w:t xml:space="preserve">timeframe within which an appeal must be filed </w:t>
      </w:r>
      <w:r w:rsidR="006A12DD">
        <w:rPr>
          <w:rFonts w:ascii="Gill Sans MT" w:hAnsi="Gill Sans MT" w:cs="Calibri"/>
          <w:iCs/>
          <w:color w:val="000000"/>
          <w:shd w:val="clear" w:color="auto" w:fill="FFFFFF"/>
        </w:rPr>
        <w:t xml:space="preserve">which </w:t>
      </w:r>
      <w:r w:rsidRPr="00334FF5">
        <w:rPr>
          <w:rFonts w:ascii="Gill Sans MT" w:hAnsi="Gill Sans MT" w:cs="Calibri"/>
          <w:iCs/>
          <w:color w:val="000000"/>
          <w:shd w:val="clear" w:color="auto" w:fill="FFFFFF"/>
        </w:rPr>
        <w:t xml:space="preserve">is </w:t>
      </w:r>
      <w:r w:rsidRPr="00334FF5">
        <w:rPr>
          <w:rFonts w:ascii="Gill Sans MT" w:hAnsi="Gill Sans MT" w:cs="Calibri"/>
          <w:b/>
          <w:iCs/>
          <w:color w:val="000000"/>
          <w:u w:val="single"/>
          <w:shd w:val="clear" w:color="auto" w:fill="FFFFFF"/>
        </w:rPr>
        <w:t>28 days</w:t>
      </w:r>
      <w:r w:rsidRPr="00334FF5">
        <w:rPr>
          <w:rFonts w:ascii="Gill Sans MT" w:hAnsi="Gill Sans MT" w:cs="Calibri"/>
          <w:iCs/>
          <w:color w:val="000000"/>
          <w:shd w:val="clear" w:color="auto" w:fill="FFFFFF"/>
        </w:rPr>
        <w:t xml:space="preserve"> after the day on which written notice of the decision has been served on the person who wishes to appeal.  </w:t>
      </w:r>
    </w:p>
    <w:p w:rsidR="00135834" w:rsidRPr="00334FF5" w:rsidRDefault="00135834" w:rsidP="00334FF5">
      <w:pPr>
        <w:spacing w:before="120" w:after="240"/>
        <w:jc w:val="both"/>
        <w:rPr>
          <w:rFonts w:ascii="Gill Sans MT" w:hAnsi="Gill Sans MT" w:cs="Calibri"/>
          <w:iCs/>
          <w:color w:val="000000"/>
          <w:shd w:val="clear" w:color="auto" w:fill="FFFFFF"/>
        </w:rPr>
      </w:pPr>
      <w:r w:rsidRPr="00334FF5">
        <w:rPr>
          <w:rFonts w:ascii="Gill Sans MT" w:hAnsi="Gill Sans MT" w:cs="Calibri"/>
          <w:iCs/>
          <w:color w:val="000000"/>
          <w:shd w:val="clear" w:color="auto" w:fill="FFFFFF"/>
        </w:rPr>
        <w:t xml:space="preserve">S256(1) provides that the Tribunal has the capacity to accept an appeal outside that timeframe. </w:t>
      </w:r>
    </w:p>
    <w:p w:rsidR="00135834" w:rsidRPr="00334FF5" w:rsidRDefault="00135834" w:rsidP="00334FF5">
      <w:pPr>
        <w:spacing w:before="120" w:after="240"/>
        <w:jc w:val="both"/>
        <w:rPr>
          <w:rFonts w:ascii="Gill Sans MT" w:hAnsi="Gill Sans MT" w:cs="Calibri"/>
          <w:iCs/>
          <w:color w:val="000000"/>
          <w:shd w:val="clear" w:color="auto" w:fill="FFFFFF"/>
        </w:rPr>
      </w:pPr>
      <w:r w:rsidRPr="00334FF5">
        <w:rPr>
          <w:rFonts w:ascii="Gill Sans MT" w:hAnsi="Gill Sans MT" w:cs="Calibri"/>
          <w:iCs/>
          <w:color w:val="000000"/>
          <w:shd w:val="clear" w:color="auto" w:fill="FFFFFF"/>
        </w:rPr>
        <w:t>If seeking an extension of time please have reg</w:t>
      </w:r>
      <w:r w:rsidR="006A12DD">
        <w:rPr>
          <w:rFonts w:ascii="Gill Sans MT" w:hAnsi="Gill Sans MT" w:cs="Calibri"/>
          <w:iCs/>
          <w:color w:val="000000"/>
          <w:shd w:val="clear" w:color="auto" w:fill="FFFFFF"/>
        </w:rPr>
        <w:t>ard to Information Sheet 2 and Practice Direction 1</w:t>
      </w:r>
      <w:r w:rsidR="00334FF5">
        <w:rPr>
          <w:rFonts w:ascii="Gill Sans MT" w:hAnsi="Gill Sans MT" w:cs="Calibri"/>
          <w:iCs/>
          <w:color w:val="000000"/>
          <w:shd w:val="clear" w:color="auto" w:fill="FFFFFF"/>
        </w:rPr>
        <w:t>.</w:t>
      </w:r>
    </w:p>
    <w:p w:rsidR="00135834" w:rsidRPr="00334FF5" w:rsidRDefault="00135834" w:rsidP="00334FF5">
      <w:pPr>
        <w:spacing w:before="120" w:after="240"/>
        <w:jc w:val="both"/>
        <w:rPr>
          <w:rFonts w:ascii="Gill Sans MT" w:hAnsi="Gill Sans MT"/>
          <w:b/>
        </w:rPr>
      </w:pPr>
      <w:r w:rsidRPr="00334FF5">
        <w:rPr>
          <w:rFonts w:ascii="Gill Sans MT" w:hAnsi="Gill Sans MT"/>
          <w:b/>
        </w:rPr>
        <w:t>GROUNDS OF APPEAL</w:t>
      </w:r>
    </w:p>
    <w:p w:rsidR="00135834" w:rsidRPr="00334FF5" w:rsidRDefault="00FD345F" w:rsidP="00334FF5">
      <w:pPr>
        <w:spacing w:before="120" w:after="240"/>
        <w:jc w:val="both"/>
        <w:rPr>
          <w:rFonts w:ascii="Gill Sans MT" w:hAnsi="Gill Sans MT"/>
        </w:rPr>
      </w:pPr>
      <w:r w:rsidRPr="00334FF5">
        <w:rPr>
          <w:rFonts w:ascii="Gill Sans MT" w:hAnsi="Gill Sans MT"/>
        </w:rPr>
        <w:t xml:space="preserve">Please refer to Information Sheet </w:t>
      </w:r>
      <w:r w:rsidR="00F63ACC">
        <w:rPr>
          <w:rFonts w:ascii="Gill Sans MT" w:hAnsi="Gill Sans MT"/>
        </w:rPr>
        <w:t>2</w:t>
      </w:r>
      <w:r w:rsidRPr="00334FF5">
        <w:rPr>
          <w:rFonts w:ascii="Gill Sans MT" w:hAnsi="Gill Sans MT"/>
        </w:rPr>
        <w:t xml:space="preserve"> for guidance in drafting grounds of appeal.</w:t>
      </w:r>
    </w:p>
    <w:p w:rsidR="00135834" w:rsidRPr="00334FF5" w:rsidRDefault="00135834" w:rsidP="00334FF5">
      <w:pPr>
        <w:spacing w:before="120" w:after="240"/>
        <w:jc w:val="both"/>
        <w:rPr>
          <w:rFonts w:ascii="Gill Sans MT" w:hAnsi="Gill Sans MT"/>
        </w:rPr>
      </w:pPr>
      <w:r w:rsidRPr="00334FF5">
        <w:rPr>
          <w:rFonts w:ascii="Gill Sans MT" w:hAnsi="Gill Sans MT"/>
          <w:b/>
        </w:rPr>
        <w:t>APPLICATIONS UNDER S207</w:t>
      </w:r>
    </w:p>
    <w:p w:rsidR="00135834" w:rsidRPr="00334FF5" w:rsidRDefault="00135834" w:rsidP="00334FF5">
      <w:pPr>
        <w:spacing w:before="120" w:after="240"/>
        <w:ind w:left="851" w:hanging="851"/>
        <w:jc w:val="both"/>
        <w:rPr>
          <w:rFonts w:ascii="Gill Sans MT" w:hAnsi="Gill Sans MT"/>
          <w:b/>
          <w:i/>
        </w:rPr>
      </w:pPr>
      <w:r w:rsidRPr="00334FF5">
        <w:rPr>
          <w:rFonts w:ascii="Gill Sans MT" w:hAnsi="Gill Sans MT"/>
          <w:b/>
          <w:i/>
        </w:rPr>
        <w:t>Use of Tribunal Form</w:t>
      </w:r>
    </w:p>
    <w:p w:rsidR="00FD345F" w:rsidRPr="00334FF5" w:rsidRDefault="00135834" w:rsidP="00334FF5">
      <w:pPr>
        <w:spacing w:before="120" w:after="240"/>
        <w:jc w:val="both"/>
        <w:rPr>
          <w:rFonts w:ascii="Gill Sans MT" w:hAnsi="Gill Sans MT"/>
        </w:rPr>
      </w:pPr>
      <w:r w:rsidRPr="00334FF5">
        <w:rPr>
          <w:rFonts w:ascii="Gill Sans MT" w:hAnsi="Gill Sans MT"/>
        </w:rPr>
        <w:t xml:space="preserve">The Tribunal has produced a form for the filing of applications under s207 of the </w:t>
      </w:r>
      <w:r w:rsidRPr="00334FF5">
        <w:rPr>
          <w:rFonts w:ascii="Gill Sans MT" w:hAnsi="Gill Sans MT"/>
          <w:i/>
        </w:rPr>
        <w:t>Biosecurity Act 2019</w:t>
      </w:r>
      <w:r w:rsidRPr="00334FF5">
        <w:rPr>
          <w:rFonts w:ascii="Gill Sans MT" w:hAnsi="Gill Sans MT"/>
        </w:rPr>
        <w:t xml:space="preserve">.  The form is located </w:t>
      </w:r>
      <w:r w:rsidR="00830A6C">
        <w:rPr>
          <w:rFonts w:ascii="Gill Sans MT" w:hAnsi="Gill Sans MT"/>
        </w:rPr>
        <w:t>under the Forms tab on the RPS website.</w:t>
      </w:r>
      <w:r w:rsidR="00830A6C">
        <w:t xml:space="preserve"> </w:t>
      </w:r>
      <w:r w:rsidR="00830A6C">
        <w:rPr>
          <w:rFonts w:ascii="Gill Sans MT" w:hAnsi="Gill Sans MT"/>
        </w:rPr>
        <w:t xml:space="preserve">Please </w:t>
      </w:r>
      <w:r w:rsidRPr="00334FF5">
        <w:rPr>
          <w:rFonts w:ascii="Gill Sans MT" w:hAnsi="Gill Sans MT"/>
        </w:rPr>
        <w:t xml:space="preserve">ensure that that form is completed with all requested details to assist the Tribunal in processing your application.  </w:t>
      </w:r>
    </w:p>
    <w:p w:rsidR="00135834" w:rsidRPr="00334FF5" w:rsidRDefault="00135834" w:rsidP="00334FF5">
      <w:pPr>
        <w:spacing w:before="120" w:after="240"/>
        <w:jc w:val="both"/>
        <w:rPr>
          <w:rFonts w:ascii="Gill Sans MT" w:hAnsi="Gill Sans MT"/>
          <w:b/>
          <w:i/>
        </w:rPr>
      </w:pPr>
      <w:r w:rsidRPr="00334FF5">
        <w:rPr>
          <w:rFonts w:ascii="Gill Sans MT" w:hAnsi="Gill Sans MT"/>
          <w:b/>
          <w:i/>
        </w:rPr>
        <w:t>Additional Information</w:t>
      </w:r>
    </w:p>
    <w:p w:rsidR="00135834" w:rsidRPr="00334FF5" w:rsidRDefault="00135834" w:rsidP="00334FF5">
      <w:pPr>
        <w:spacing w:before="120" w:after="240"/>
        <w:jc w:val="both"/>
        <w:rPr>
          <w:rFonts w:ascii="Gill Sans MT" w:hAnsi="Gill Sans MT"/>
        </w:rPr>
      </w:pPr>
      <w:r w:rsidRPr="00334FF5">
        <w:rPr>
          <w:rFonts w:ascii="Gill Sans MT" w:hAnsi="Gill Sans MT"/>
        </w:rPr>
        <w:t xml:space="preserve">An application under s207 of the </w:t>
      </w:r>
      <w:r w:rsidRPr="00334FF5">
        <w:rPr>
          <w:rFonts w:ascii="Gill Sans MT" w:hAnsi="Gill Sans MT"/>
          <w:i/>
        </w:rPr>
        <w:t>Biosecurity Act 2019</w:t>
      </w:r>
      <w:r w:rsidRPr="00334FF5">
        <w:rPr>
          <w:rFonts w:ascii="Gill Sans MT" w:hAnsi="Gill Sans MT"/>
        </w:rPr>
        <w:t xml:space="preserve"> relates to an alleged contravention of a Biosecurity undertaking.  The Tribunal must receive sufficient </w:t>
      </w:r>
      <w:r w:rsidRPr="00334FF5">
        <w:rPr>
          <w:rFonts w:ascii="Gill Sans MT" w:hAnsi="Gill Sans MT"/>
          <w:i/>
        </w:rPr>
        <w:t>prima facie</w:t>
      </w:r>
      <w:r w:rsidRPr="00334FF5">
        <w:rPr>
          <w:rFonts w:ascii="Gill Sans MT" w:hAnsi="Gill Sans MT"/>
        </w:rPr>
        <w:t xml:space="preserve"> evidence and information to demonstrate that the proceedings are appropriately brought.  </w:t>
      </w:r>
    </w:p>
    <w:p w:rsidR="00135834" w:rsidRPr="00334FF5" w:rsidRDefault="00135834" w:rsidP="00334FF5">
      <w:pPr>
        <w:spacing w:before="120" w:after="240"/>
        <w:jc w:val="both"/>
        <w:rPr>
          <w:rFonts w:ascii="Gill Sans MT" w:hAnsi="Gill Sans MT"/>
        </w:rPr>
      </w:pPr>
      <w:r w:rsidRPr="00334FF5">
        <w:rPr>
          <w:rFonts w:ascii="Gill Sans MT" w:hAnsi="Gill Sans MT"/>
        </w:rPr>
        <w:t>The additional information that needs to be filed with the required form includes:</w:t>
      </w:r>
    </w:p>
    <w:p w:rsidR="00135834" w:rsidRPr="00334FF5" w:rsidRDefault="00135834" w:rsidP="00334FF5">
      <w:pPr>
        <w:numPr>
          <w:ilvl w:val="0"/>
          <w:numId w:val="2"/>
        </w:numPr>
        <w:spacing w:before="120" w:after="240"/>
        <w:ind w:left="567" w:hanging="556"/>
        <w:jc w:val="both"/>
        <w:rPr>
          <w:rFonts w:ascii="Gill Sans MT" w:hAnsi="Gill Sans MT"/>
        </w:rPr>
      </w:pPr>
      <w:r w:rsidRPr="00334FF5">
        <w:rPr>
          <w:rFonts w:ascii="Gill Sans MT" w:hAnsi="Gill Sans MT"/>
        </w:rPr>
        <w:t xml:space="preserve">A copy of the undertaking which has been executed in accordance with s203 of the </w:t>
      </w:r>
      <w:r w:rsidRPr="00334FF5">
        <w:rPr>
          <w:rFonts w:ascii="Gill Sans MT" w:hAnsi="Gill Sans MT"/>
          <w:i/>
        </w:rPr>
        <w:t>Biosecurity Act 2019</w:t>
      </w:r>
      <w:r w:rsidRPr="00334FF5">
        <w:rPr>
          <w:rFonts w:ascii="Gill Sans MT" w:hAnsi="Gill Sans MT"/>
        </w:rPr>
        <w:t>;</w:t>
      </w:r>
    </w:p>
    <w:p w:rsidR="00135834" w:rsidRPr="00334FF5" w:rsidRDefault="00135834" w:rsidP="00334FF5">
      <w:pPr>
        <w:numPr>
          <w:ilvl w:val="0"/>
          <w:numId w:val="2"/>
        </w:numPr>
        <w:spacing w:before="120" w:after="240"/>
        <w:ind w:left="567" w:hanging="556"/>
        <w:jc w:val="both"/>
        <w:rPr>
          <w:rFonts w:ascii="Gill Sans MT" w:hAnsi="Gill Sans MT"/>
        </w:rPr>
      </w:pPr>
      <w:r w:rsidRPr="00334FF5">
        <w:rPr>
          <w:rFonts w:ascii="Gill Sans MT" w:hAnsi="Gill Sans MT"/>
        </w:rPr>
        <w:t xml:space="preserve">Evidence of the alleged breach.  There must be sufficient evidence filed to demonstrate to the Tribunal that there is a </w:t>
      </w:r>
      <w:r w:rsidRPr="00334FF5">
        <w:rPr>
          <w:rFonts w:ascii="Gill Sans MT" w:hAnsi="Gill Sans MT"/>
          <w:i/>
        </w:rPr>
        <w:t>prima facie</w:t>
      </w:r>
      <w:r w:rsidRPr="00334FF5">
        <w:rPr>
          <w:rFonts w:ascii="Gill Sans MT" w:hAnsi="Gill Sans MT"/>
        </w:rPr>
        <w:t xml:space="preserve"> breach such that the Tribunal should proceed to hear and </w:t>
      </w:r>
      <w:r w:rsidRPr="00334FF5">
        <w:rPr>
          <w:rFonts w:ascii="Gill Sans MT" w:hAnsi="Gill Sans MT"/>
        </w:rPr>
        <w:lastRenderedPageBreak/>
        <w:t xml:space="preserve">determine the application.  It is preferable that the evidence be filed in affidavit or statutory declaration form.  The information that should be provided should include the date of the alleged contravention of the undertaking, the nature of the contravention and evidence demonstrating the contravention in question.  </w:t>
      </w:r>
    </w:p>
    <w:p w:rsidR="00FD345F" w:rsidRPr="00334FF5" w:rsidRDefault="00135834" w:rsidP="00334FF5">
      <w:pPr>
        <w:numPr>
          <w:ilvl w:val="0"/>
          <w:numId w:val="2"/>
        </w:numPr>
        <w:spacing w:before="120" w:after="240"/>
        <w:ind w:left="567" w:hanging="556"/>
        <w:jc w:val="both"/>
        <w:rPr>
          <w:rFonts w:ascii="Gill Sans MT" w:hAnsi="Gill Sans MT"/>
        </w:rPr>
      </w:pPr>
      <w:r w:rsidRPr="00334FF5">
        <w:rPr>
          <w:rFonts w:ascii="Gill Sans MT" w:hAnsi="Gill Sans MT"/>
        </w:rPr>
        <w:t xml:space="preserve">It is important that the form which is completed in filing the application clearly identifies the orders that are being sought pursuant to s207(2).  </w:t>
      </w:r>
    </w:p>
    <w:p w:rsidR="00FD345F" w:rsidRPr="00334FF5" w:rsidRDefault="00FD345F" w:rsidP="00334FF5">
      <w:pPr>
        <w:tabs>
          <w:tab w:val="left" w:pos="1418"/>
        </w:tabs>
        <w:spacing w:before="120" w:after="240"/>
        <w:jc w:val="both"/>
        <w:rPr>
          <w:rFonts w:ascii="Gill Sans MT" w:hAnsi="Gill Sans MT"/>
        </w:rPr>
      </w:pPr>
      <w:r w:rsidRPr="00334FF5">
        <w:rPr>
          <w:rFonts w:ascii="Gill Sans MT" w:hAnsi="Gill Sans MT"/>
          <w:b/>
        </w:rPr>
        <w:t>PROCESS AND HEARING OF PROCEEDINGS UNDER BIOSECURITY ACT 2019</w:t>
      </w:r>
    </w:p>
    <w:p w:rsidR="00FD345F" w:rsidRPr="00334FF5" w:rsidRDefault="00FD345F" w:rsidP="00334FF5">
      <w:pPr>
        <w:spacing w:before="120" w:after="240"/>
        <w:jc w:val="both"/>
        <w:rPr>
          <w:rFonts w:ascii="Gill Sans MT" w:hAnsi="Gill Sans MT"/>
        </w:rPr>
      </w:pPr>
      <w:r w:rsidRPr="00334FF5">
        <w:rPr>
          <w:rFonts w:ascii="Gill Sans MT" w:hAnsi="Gill Sans MT"/>
        </w:rPr>
        <w:t xml:space="preserve">Any application or appeal will follow the same processes set out in </w:t>
      </w:r>
      <w:r w:rsidR="00F63ACC">
        <w:rPr>
          <w:rFonts w:ascii="Gill Sans MT" w:hAnsi="Gill Sans MT"/>
        </w:rPr>
        <w:t>the Information Sheets of the RPS.</w:t>
      </w:r>
    </w:p>
    <w:p w:rsidR="00FD345F" w:rsidRPr="00334FF5" w:rsidRDefault="00FD345F" w:rsidP="00334FF5">
      <w:pPr>
        <w:spacing w:before="120" w:after="240"/>
        <w:jc w:val="both"/>
        <w:rPr>
          <w:rFonts w:ascii="Gill Sans MT" w:hAnsi="Gill Sans MT"/>
        </w:rPr>
      </w:pPr>
      <w:r w:rsidRPr="00334FF5">
        <w:rPr>
          <w:rFonts w:ascii="Gill Sans MT" w:hAnsi="Gill Sans MT"/>
        </w:rPr>
        <w:t xml:space="preserve">The requirements for the filing of materials as contained </w:t>
      </w:r>
      <w:r w:rsidR="00F63ACC">
        <w:rPr>
          <w:rFonts w:ascii="Gill Sans MT" w:hAnsi="Gill Sans MT"/>
        </w:rPr>
        <w:t>in Practice Direction 4</w:t>
      </w:r>
      <w:r w:rsidRPr="00334FF5">
        <w:rPr>
          <w:rFonts w:ascii="Gill Sans MT" w:hAnsi="Gill Sans MT"/>
        </w:rPr>
        <w:t xml:space="preserve"> will be generally applicable, however, those elements of the Practice Directions which relate to planning appeals will not be required.  The requirements for statements of evid</w:t>
      </w:r>
      <w:r w:rsidR="00830A6C">
        <w:rPr>
          <w:rFonts w:ascii="Gill Sans MT" w:hAnsi="Gill Sans MT"/>
        </w:rPr>
        <w:t xml:space="preserve">ence under Practice Direction 4 at </w:t>
      </w:r>
      <w:r w:rsidR="00F63ACC">
        <w:rPr>
          <w:rFonts w:ascii="Gill Sans MT" w:hAnsi="Gill Sans MT"/>
        </w:rPr>
        <w:t xml:space="preserve">4.0.1 -4.0.6 </w:t>
      </w:r>
      <w:r w:rsidRPr="00334FF5">
        <w:rPr>
          <w:rFonts w:ascii="Gill Sans MT" w:hAnsi="Gill Sans MT"/>
        </w:rPr>
        <w:t xml:space="preserve">are applicable.  </w:t>
      </w:r>
    </w:p>
    <w:p w:rsidR="00FD345F" w:rsidRPr="00334FF5" w:rsidRDefault="00FD345F" w:rsidP="00334FF5">
      <w:pPr>
        <w:spacing w:before="120" w:after="240"/>
        <w:jc w:val="both"/>
        <w:rPr>
          <w:rFonts w:ascii="Gill Sans MT" w:hAnsi="Gill Sans MT"/>
        </w:rPr>
      </w:pPr>
      <w:r w:rsidRPr="00334FF5">
        <w:rPr>
          <w:rFonts w:ascii="Gill Sans MT" w:hAnsi="Gill Sans MT"/>
        </w:rPr>
        <w:t xml:space="preserve">The Tribunal will exercise discretion as to whether or not statements of facts and contentions will be required in proceedings under the </w:t>
      </w:r>
      <w:r w:rsidRPr="00334FF5">
        <w:rPr>
          <w:rFonts w:ascii="Gill Sans MT" w:hAnsi="Gill Sans MT"/>
          <w:i/>
        </w:rPr>
        <w:t>Biosecurity Act 2019</w:t>
      </w:r>
      <w:r w:rsidR="00830A6C">
        <w:rPr>
          <w:rFonts w:ascii="Gill Sans MT" w:hAnsi="Gill Sans MT"/>
        </w:rPr>
        <w:t>. The requirement of Practice Direction 4 at</w:t>
      </w:r>
      <w:bookmarkStart w:id="0" w:name="_GoBack"/>
      <w:bookmarkEnd w:id="0"/>
      <w:r w:rsidR="00F63ACC">
        <w:rPr>
          <w:rFonts w:ascii="Gill Sans MT" w:hAnsi="Gill Sans MT"/>
        </w:rPr>
        <w:t xml:space="preserve"> 4.3</w:t>
      </w:r>
      <w:r w:rsidRPr="00334FF5">
        <w:rPr>
          <w:rFonts w:ascii="Gill Sans MT" w:hAnsi="Gill Sans MT"/>
        </w:rPr>
        <w:t xml:space="preserve"> may need to be modified if that process is identified as appropriate and helpful for the purposes of resolving appeals under the Act.</w:t>
      </w:r>
    </w:p>
    <w:p w:rsidR="00135834" w:rsidRPr="00334FF5" w:rsidRDefault="00135834" w:rsidP="00334FF5">
      <w:pPr>
        <w:spacing w:before="120" w:after="240"/>
        <w:jc w:val="both"/>
        <w:rPr>
          <w:rFonts w:ascii="Gill Sans MT" w:hAnsi="Gill Sans MT"/>
          <w:b/>
          <w:i/>
        </w:rPr>
      </w:pPr>
      <w:r w:rsidRPr="00334FF5">
        <w:rPr>
          <w:rFonts w:ascii="Gill Sans MT" w:hAnsi="Gill Sans MT"/>
          <w:b/>
          <w:i/>
        </w:rPr>
        <w:t>Hearing Process</w:t>
      </w:r>
    </w:p>
    <w:p w:rsidR="00135834" w:rsidRPr="00334FF5" w:rsidRDefault="00135834" w:rsidP="00334FF5">
      <w:pPr>
        <w:spacing w:before="120" w:after="240"/>
        <w:jc w:val="both"/>
        <w:rPr>
          <w:rFonts w:ascii="Gill Sans MT" w:hAnsi="Gill Sans MT"/>
        </w:rPr>
      </w:pPr>
      <w:r w:rsidRPr="00334FF5">
        <w:rPr>
          <w:rFonts w:ascii="Gill Sans MT" w:hAnsi="Gill Sans MT"/>
        </w:rPr>
        <w:t xml:space="preserve">The hearing processes for an application under s207 will follow the process set out under </w:t>
      </w:r>
      <w:r w:rsidR="00F63ACC">
        <w:rPr>
          <w:rFonts w:ascii="Gill Sans MT" w:hAnsi="Gill Sans MT"/>
        </w:rPr>
        <w:t xml:space="preserve">Information Sheet 9 </w:t>
      </w:r>
      <w:r w:rsidRPr="00334FF5">
        <w:rPr>
          <w:rFonts w:ascii="Gill Sans MT" w:hAnsi="Gill Sans MT"/>
        </w:rPr>
        <w:t xml:space="preserve">which </w:t>
      </w:r>
      <w:r w:rsidR="00F63ACC">
        <w:rPr>
          <w:rFonts w:ascii="Gill Sans MT" w:hAnsi="Gill Sans MT"/>
        </w:rPr>
        <w:t xml:space="preserve">describes </w:t>
      </w:r>
      <w:r w:rsidRPr="00334FF5">
        <w:rPr>
          <w:rFonts w:ascii="Gill Sans MT" w:hAnsi="Gill Sans MT"/>
        </w:rPr>
        <w:t>proceedings under civil enforcement provisions of various pieces of legislation.  This is because the applicant bears the onus of proof for the purposes of establishing a contravention and secondly to demonstrate, in the exercise of the Tribunals discretion, that orders should issue in the terms applied for.</w:t>
      </w:r>
    </w:p>
    <w:p w:rsidR="00D54928" w:rsidRPr="00334FF5" w:rsidRDefault="00D54928" w:rsidP="00334FF5">
      <w:pPr>
        <w:spacing w:before="120" w:after="240"/>
        <w:jc w:val="both"/>
        <w:rPr>
          <w:rFonts w:ascii="Gill Sans MT" w:hAnsi="Gill Sans MT"/>
        </w:rPr>
      </w:pPr>
    </w:p>
    <w:p w:rsidR="00681C55" w:rsidRPr="00334FF5" w:rsidRDefault="00681C55" w:rsidP="00334FF5">
      <w:pPr>
        <w:spacing w:before="120" w:after="240"/>
        <w:rPr>
          <w:rFonts w:ascii="Gill Sans MT" w:hAnsi="Gill Sans MT"/>
        </w:rPr>
      </w:pPr>
    </w:p>
    <w:sectPr w:rsidR="00681C55" w:rsidRPr="00334FF5" w:rsidSect="00334FF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3546"/>
    <w:multiLevelType w:val="multilevel"/>
    <w:tmpl w:val="428E8CF4"/>
    <w:lvl w:ilvl="0">
      <w:start w:val="19"/>
      <w:numFmt w:val="decimal"/>
      <w:lvlText w:val="%1"/>
      <w:lvlJc w:val="left"/>
      <w:pPr>
        <w:ind w:left="600" w:hanging="600"/>
      </w:pPr>
      <w:rPr>
        <w:rFonts w:hint="default"/>
      </w:rPr>
    </w:lvl>
    <w:lvl w:ilvl="1">
      <w:start w:val="1"/>
      <w:numFmt w:val="decimal"/>
      <w:lvlText w:val="%1.%2"/>
      <w:lvlJc w:val="left"/>
      <w:pPr>
        <w:ind w:left="885" w:hanging="600"/>
      </w:pPr>
      <w:rPr>
        <w:rFonts w:hint="default"/>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 w15:restartNumberingAfterBreak="0">
    <w:nsid w:val="4CA93B30"/>
    <w:multiLevelType w:val="multilevel"/>
    <w:tmpl w:val="BA4EDCB2"/>
    <w:lvl w:ilvl="0">
      <w:start w:val="19"/>
      <w:numFmt w:val="decimal"/>
      <w:lvlText w:val="%1"/>
      <w:lvlJc w:val="left"/>
      <w:pPr>
        <w:ind w:left="600" w:hanging="600"/>
      </w:pPr>
      <w:rPr>
        <w:rFonts w:hint="default"/>
      </w:rPr>
    </w:lvl>
    <w:lvl w:ilvl="1">
      <w:start w:val="7"/>
      <w:numFmt w:val="decimal"/>
      <w:lvlText w:val="%1.%2"/>
      <w:lvlJc w:val="left"/>
      <w:pPr>
        <w:ind w:left="885" w:hanging="60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15:restartNumberingAfterBreak="0">
    <w:nsid w:val="7C1F7414"/>
    <w:multiLevelType w:val="hybridMultilevel"/>
    <w:tmpl w:val="A1D4AF2C"/>
    <w:lvl w:ilvl="0" w:tplc="17567EA2">
      <w:start w:val="1"/>
      <w:numFmt w:val="lowerLetter"/>
      <w:lvlText w:val="(%1)"/>
      <w:lvlJc w:val="left"/>
      <w:pPr>
        <w:ind w:left="2355" w:hanging="360"/>
      </w:pPr>
      <w:rPr>
        <w:rFonts w:hint="default"/>
      </w:rPr>
    </w:lvl>
    <w:lvl w:ilvl="1" w:tplc="08090019" w:tentative="1">
      <w:start w:val="1"/>
      <w:numFmt w:val="lowerLetter"/>
      <w:lvlText w:val="%2."/>
      <w:lvlJc w:val="left"/>
      <w:pPr>
        <w:ind w:left="3075" w:hanging="360"/>
      </w:pPr>
    </w:lvl>
    <w:lvl w:ilvl="2" w:tplc="0809001B" w:tentative="1">
      <w:start w:val="1"/>
      <w:numFmt w:val="lowerRoman"/>
      <w:lvlText w:val="%3."/>
      <w:lvlJc w:val="right"/>
      <w:pPr>
        <w:ind w:left="3795" w:hanging="180"/>
      </w:pPr>
    </w:lvl>
    <w:lvl w:ilvl="3" w:tplc="0809000F" w:tentative="1">
      <w:start w:val="1"/>
      <w:numFmt w:val="decimal"/>
      <w:lvlText w:val="%4."/>
      <w:lvlJc w:val="left"/>
      <w:pPr>
        <w:ind w:left="4515" w:hanging="360"/>
      </w:pPr>
    </w:lvl>
    <w:lvl w:ilvl="4" w:tplc="08090019" w:tentative="1">
      <w:start w:val="1"/>
      <w:numFmt w:val="lowerLetter"/>
      <w:lvlText w:val="%5."/>
      <w:lvlJc w:val="left"/>
      <w:pPr>
        <w:ind w:left="5235" w:hanging="360"/>
      </w:pPr>
    </w:lvl>
    <w:lvl w:ilvl="5" w:tplc="0809001B" w:tentative="1">
      <w:start w:val="1"/>
      <w:numFmt w:val="lowerRoman"/>
      <w:lvlText w:val="%6."/>
      <w:lvlJc w:val="right"/>
      <w:pPr>
        <w:ind w:left="5955" w:hanging="180"/>
      </w:pPr>
    </w:lvl>
    <w:lvl w:ilvl="6" w:tplc="0809000F" w:tentative="1">
      <w:start w:val="1"/>
      <w:numFmt w:val="decimal"/>
      <w:lvlText w:val="%7."/>
      <w:lvlJc w:val="left"/>
      <w:pPr>
        <w:ind w:left="6675" w:hanging="360"/>
      </w:pPr>
    </w:lvl>
    <w:lvl w:ilvl="7" w:tplc="08090019" w:tentative="1">
      <w:start w:val="1"/>
      <w:numFmt w:val="lowerLetter"/>
      <w:lvlText w:val="%8."/>
      <w:lvlJc w:val="left"/>
      <w:pPr>
        <w:ind w:left="7395" w:hanging="360"/>
      </w:pPr>
    </w:lvl>
    <w:lvl w:ilvl="8" w:tplc="0809001B" w:tentative="1">
      <w:start w:val="1"/>
      <w:numFmt w:val="lowerRoman"/>
      <w:lvlText w:val="%9."/>
      <w:lvlJc w:val="right"/>
      <w:pPr>
        <w:ind w:left="811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28"/>
    <w:rsid w:val="00135834"/>
    <w:rsid w:val="00334FF5"/>
    <w:rsid w:val="00474779"/>
    <w:rsid w:val="00681C55"/>
    <w:rsid w:val="006A12DD"/>
    <w:rsid w:val="00830A6C"/>
    <w:rsid w:val="008D41AD"/>
    <w:rsid w:val="00D54928"/>
    <w:rsid w:val="00D62985"/>
    <w:rsid w:val="00D81662"/>
    <w:rsid w:val="00F63ACC"/>
    <w:rsid w:val="00FD3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657D"/>
  <w15:chartTrackingRefBased/>
  <w15:docId w15:val="{58B6D17E-8ED6-4B5A-BC0D-C11AEBE8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9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5834"/>
    <w:rPr>
      <w:color w:val="0000FF"/>
      <w:u w:val="single"/>
    </w:rPr>
  </w:style>
  <w:style w:type="paragraph" w:customStyle="1" w:styleId="headingparagraph">
    <w:name w:val="headingparagraph"/>
    <w:basedOn w:val="Normal"/>
    <w:rsid w:val="00135834"/>
    <w:pPr>
      <w:spacing w:before="100" w:beforeAutospacing="1" w:after="100" w:afterAutospacing="1" w:line="276" w:lineRule="auto"/>
    </w:pPr>
    <w:rPr>
      <w:rFonts w:ascii="Calibri" w:hAnsi="Calibri"/>
      <w:lang w:eastAsia="en-GB"/>
    </w:rPr>
  </w:style>
  <w:style w:type="paragraph" w:styleId="ListParagraph">
    <w:name w:val="List Paragraph"/>
    <w:basedOn w:val="Normal"/>
    <w:uiPriority w:val="34"/>
    <w:qFormat/>
    <w:rsid w:val="00FD3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ivision%205%20-%20App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ART%2014%20-%20Legal%20Proceeding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596</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Bryan, Jarrod</cp:lastModifiedBy>
  <cp:revision>6</cp:revision>
  <dcterms:created xsi:type="dcterms:W3CDTF">2021-08-29T05:55:00Z</dcterms:created>
  <dcterms:modified xsi:type="dcterms:W3CDTF">2021-11-02T01:15:00Z</dcterms:modified>
</cp:coreProperties>
</file>