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488D" w14:textId="77777777" w:rsidR="00804EEB" w:rsidRDefault="00804EEB" w:rsidP="00804EEB">
      <w:pPr>
        <w:rPr>
          <w:rFonts w:ascii="Gill Sans MT" w:hAnsi="Gill Sans MT"/>
          <w:b/>
        </w:rPr>
      </w:pPr>
      <w:r w:rsidRPr="000931B0">
        <w:rPr>
          <w:rFonts w:ascii="Gill Sans MT" w:hAnsi="Gill Sans MT"/>
          <w:b/>
          <w:noProof/>
          <w:lang w:val="en-GB" w:eastAsia="en-GB"/>
        </w:rPr>
        <w:drawing>
          <wp:anchor distT="0" distB="0" distL="114300" distR="114300" simplePos="0" relativeHeight="251659264" behindDoc="0" locked="0" layoutInCell="1" allowOverlap="1" wp14:anchorId="620ED5C1" wp14:editId="6E2B3663">
            <wp:simplePos x="0" y="0"/>
            <wp:positionH relativeFrom="margin">
              <wp:posOffset>4348480</wp:posOffset>
            </wp:positionH>
            <wp:positionV relativeFrom="paragraph">
              <wp:posOffset>0</wp:posOffset>
            </wp:positionV>
            <wp:extent cx="1767840" cy="757391"/>
            <wp:effectExtent l="0" t="0" r="3810" b="5080"/>
            <wp:wrapSquare wrapText="bothSides"/>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840" cy="757391"/>
                    </a:xfrm>
                    <a:prstGeom prst="rect">
                      <a:avLst/>
                    </a:prstGeom>
                    <a:noFill/>
                    <a:ln>
                      <a:noFill/>
                    </a:ln>
                  </pic:spPr>
                </pic:pic>
              </a:graphicData>
            </a:graphic>
          </wp:anchor>
        </w:drawing>
      </w:r>
    </w:p>
    <w:p w14:paraId="0F684B27" w14:textId="77777777" w:rsidR="00804EEB" w:rsidRDefault="00804EEB" w:rsidP="00804EEB">
      <w:pPr>
        <w:rPr>
          <w:rFonts w:ascii="Gill Sans MT" w:hAnsi="Gill Sans MT"/>
          <w:b/>
        </w:rPr>
      </w:pPr>
    </w:p>
    <w:p w14:paraId="2F17C972" w14:textId="77777777" w:rsidR="00804EEB" w:rsidRDefault="00804EEB" w:rsidP="00804EEB">
      <w:pPr>
        <w:rPr>
          <w:rFonts w:ascii="Gill Sans MT" w:hAnsi="Gill Sans MT"/>
          <w:b/>
        </w:rPr>
      </w:pPr>
    </w:p>
    <w:p w14:paraId="3E97EFAF" w14:textId="77777777" w:rsidR="00804EEB" w:rsidRDefault="00804EEB" w:rsidP="00804EEB">
      <w:pPr>
        <w:rPr>
          <w:rFonts w:ascii="Gill Sans MT" w:hAnsi="Gill Sans MT"/>
          <w:b/>
        </w:rPr>
      </w:pPr>
    </w:p>
    <w:p w14:paraId="65D2DB2C" w14:textId="77777777" w:rsidR="00804EEB" w:rsidRDefault="00804EEB" w:rsidP="00804EEB">
      <w:pPr>
        <w:rPr>
          <w:rFonts w:ascii="Gill Sans MT" w:hAnsi="Gill Sans MT"/>
          <w:b/>
        </w:rPr>
      </w:pPr>
    </w:p>
    <w:p w14:paraId="652F1594" w14:textId="77777777" w:rsidR="00804EEB" w:rsidRPr="006E690C" w:rsidRDefault="00782F73" w:rsidP="00804EEB">
      <w:pPr>
        <w:pBdr>
          <w:bottom w:val="single" w:sz="4" w:space="1" w:color="auto"/>
        </w:pBdr>
        <w:rPr>
          <w:rFonts w:ascii="Gill Sans MT" w:hAnsi="Gill Sans MT"/>
          <w:b/>
          <w:sz w:val="44"/>
        </w:rPr>
      </w:pPr>
      <w:r>
        <w:rPr>
          <w:rFonts w:ascii="Gill Sans MT" w:hAnsi="Gill Sans MT"/>
          <w:b/>
          <w:sz w:val="44"/>
        </w:rPr>
        <w:t>INFORMATION SHEET 4</w:t>
      </w:r>
      <w:r w:rsidR="00F94ADB">
        <w:rPr>
          <w:rFonts w:ascii="Gill Sans MT" w:hAnsi="Gill Sans MT"/>
          <w:b/>
          <w:sz w:val="44"/>
        </w:rPr>
        <w:t xml:space="preserve"> – Conduct of Parties</w:t>
      </w:r>
    </w:p>
    <w:p w14:paraId="5A5BAC80" w14:textId="77777777" w:rsidR="00804EEB" w:rsidRDefault="00804EEB" w:rsidP="00804EEB">
      <w:pPr>
        <w:jc w:val="both"/>
        <w:rPr>
          <w:rFonts w:ascii="Gill Sans MT" w:hAnsi="Gill Sans MT"/>
          <w:b/>
        </w:rPr>
      </w:pPr>
    </w:p>
    <w:p w14:paraId="09F58D42" w14:textId="77777777" w:rsidR="00AA4518" w:rsidRPr="00AA4518" w:rsidRDefault="00AA4518" w:rsidP="00804EEB">
      <w:pPr>
        <w:pStyle w:val="ListParagraph"/>
        <w:numPr>
          <w:ilvl w:val="1"/>
          <w:numId w:val="1"/>
        </w:numPr>
        <w:spacing w:before="120" w:after="240"/>
        <w:ind w:left="567" w:hanging="567"/>
        <w:contextualSpacing w:val="0"/>
        <w:jc w:val="both"/>
        <w:rPr>
          <w:rFonts w:ascii="Gill Sans MT" w:hAnsi="Gill Sans MT"/>
        </w:rPr>
      </w:pPr>
      <w:r w:rsidRPr="00AA4518">
        <w:rPr>
          <w:rFonts w:ascii="Gill Sans MT" w:hAnsi="Gill Sans MT"/>
        </w:rPr>
        <w:t xml:space="preserve">The Tribunal has a range of requirements and expectations of parties </w:t>
      </w:r>
      <w:r w:rsidR="00F94ADB">
        <w:rPr>
          <w:rFonts w:ascii="Gill Sans MT" w:hAnsi="Gill Sans MT"/>
        </w:rPr>
        <w:t>who appear before the RPS of</w:t>
      </w:r>
      <w:r w:rsidRPr="00AA4518">
        <w:rPr>
          <w:rFonts w:ascii="Gill Sans MT" w:hAnsi="Gill Sans MT"/>
        </w:rPr>
        <w:t xml:space="preserve"> TASCAT.</w:t>
      </w:r>
    </w:p>
    <w:p w14:paraId="2C38DFE4" w14:textId="77777777" w:rsidR="00AA4518" w:rsidRPr="00AA4518" w:rsidRDefault="00AA4518" w:rsidP="00804EEB">
      <w:pPr>
        <w:spacing w:before="120" w:after="240"/>
        <w:jc w:val="both"/>
        <w:rPr>
          <w:rFonts w:ascii="Gill Sans MT" w:hAnsi="Gill Sans MT"/>
          <w:b/>
        </w:rPr>
      </w:pPr>
      <w:r w:rsidRPr="00AA4518">
        <w:rPr>
          <w:rFonts w:ascii="Gill Sans MT" w:hAnsi="Gill Sans MT"/>
          <w:b/>
        </w:rPr>
        <w:t>COMPLIANCE WITH PRACTICE DIRECTIONS AND PROCEDURAL REQUIREMENTS:</w:t>
      </w:r>
    </w:p>
    <w:p w14:paraId="1CF1E92C" w14:textId="77777777" w:rsidR="00E42C20" w:rsidRDefault="00E42C20" w:rsidP="00804EEB">
      <w:pPr>
        <w:pStyle w:val="ListParagraph"/>
        <w:numPr>
          <w:ilvl w:val="1"/>
          <w:numId w:val="1"/>
        </w:numPr>
        <w:spacing w:before="120" w:after="240"/>
        <w:ind w:left="567" w:hanging="567"/>
        <w:contextualSpacing w:val="0"/>
        <w:jc w:val="both"/>
        <w:rPr>
          <w:rFonts w:ascii="Gill Sans MT" w:hAnsi="Gill Sans MT"/>
        </w:rPr>
      </w:pPr>
      <w:r w:rsidRPr="00E42C20">
        <w:rPr>
          <w:rFonts w:ascii="Gill Sans MT" w:hAnsi="Gill Sans MT"/>
        </w:rPr>
        <w:t xml:space="preserve">The Tribunal will actively case manage its proceedings.  </w:t>
      </w:r>
      <w:r w:rsidR="00AA4518">
        <w:rPr>
          <w:rFonts w:ascii="Gill Sans MT" w:hAnsi="Gill Sans MT"/>
        </w:rPr>
        <w:t xml:space="preserve">The Tribunal has a statutory time frame of 90 days within which it must resolve proceedings (see </w:t>
      </w:r>
      <w:r w:rsidR="00080EFB">
        <w:rPr>
          <w:rFonts w:ascii="Gill Sans MT" w:hAnsi="Gill Sans MT"/>
        </w:rPr>
        <w:t xml:space="preserve">Schedule 2, Part 8, Clause 9(1) of the Tasmanian Civil and </w:t>
      </w:r>
      <w:r w:rsidR="003663D5">
        <w:rPr>
          <w:rFonts w:ascii="Gill Sans MT" w:hAnsi="Gill Sans MT"/>
        </w:rPr>
        <w:t>Administrative Tribunal Act 2020</w:t>
      </w:r>
      <w:r w:rsidR="00080EFB">
        <w:rPr>
          <w:rFonts w:ascii="Gill Sans MT" w:hAnsi="Gill Sans MT"/>
        </w:rPr>
        <w:t xml:space="preserve">).  </w:t>
      </w:r>
      <w:r w:rsidRPr="00E42C20">
        <w:rPr>
          <w:rFonts w:ascii="Gill Sans MT" w:hAnsi="Gill Sans MT"/>
        </w:rPr>
        <w:t>It will monitor compliance with directions it has issued and if a party fails to comply with directions then the Tribunal may have to issue orders or listings to address the failure.  If a party cannot comply with a direction of the Tribunal they must notify the Tribunal and make the necessary application to seek a change to the direction.</w:t>
      </w:r>
    </w:p>
    <w:p w14:paraId="078B116F" w14:textId="77777777" w:rsidR="00E42C20" w:rsidRDefault="00E42C20" w:rsidP="00804EEB">
      <w:pPr>
        <w:pStyle w:val="ListParagraph"/>
        <w:numPr>
          <w:ilvl w:val="1"/>
          <w:numId w:val="1"/>
        </w:numPr>
        <w:spacing w:before="120" w:after="240"/>
        <w:ind w:left="567" w:hanging="567"/>
        <w:contextualSpacing w:val="0"/>
        <w:jc w:val="both"/>
        <w:rPr>
          <w:rFonts w:ascii="Gill Sans MT" w:hAnsi="Gill Sans MT"/>
        </w:rPr>
      </w:pPr>
      <w:r>
        <w:rPr>
          <w:rFonts w:ascii="Gill Sans MT" w:hAnsi="Gill Sans MT"/>
        </w:rPr>
        <w:t>A failure to comply with directions of the Tribunal can have serious consequences including dismissal from proceedings or an order for costs if other parties have incurred costs due to the failure to comply by the relevant party.</w:t>
      </w:r>
    </w:p>
    <w:p w14:paraId="7D2877A2" w14:textId="77777777" w:rsidR="00681C55" w:rsidRDefault="00E42C20" w:rsidP="00804EEB">
      <w:pPr>
        <w:pStyle w:val="ListParagraph"/>
        <w:numPr>
          <w:ilvl w:val="1"/>
          <w:numId w:val="1"/>
        </w:numPr>
        <w:spacing w:before="120" w:after="240"/>
        <w:ind w:left="567" w:hanging="567"/>
        <w:contextualSpacing w:val="0"/>
        <w:jc w:val="both"/>
        <w:rPr>
          <w:rFonts w:ascii="Gill Sans MT" w:hAnsi="Gill Sans MT"/>
        </w:rPr>
      </w:pPr>
      <w:r>
        <w:rPr>
          <w:rFonts w:ascii="Gill Sans MT" w:hAnsi="Gill Sans MT"/>
        </w:rPr>
        <w:t xml:space="preserve">The Tribunal has issued Practice Directions regarding its case management procedures including </w:t>
      </w:r>
      <w:r w:rsidR="00AA4518">
        <w:rPr>
          <w:rFonts w:ascii="Gill Sans MT" w:hAnsi="Gill Sans MT"/>
        </w:rPr>
        <w:t>how to make applications for a large range of purposes and requirements of parties in responding to applications during proceedings.  It is important you read those Practice Directions and ensure you know what is required of you.  See PD</w:t>
      </w:r>
      <w:r w:rsidR="00080EFB">
        <w:rPr>
          <w:rFonts w:ascii="Gill Sans MT" w:hAnsi="Gill Sans MT"/>
        </w:rPr>
        <w:t xml:space="preserve"> 2.</w:t>
      </w:r>
    </w:p>
    <w:p w14:paraId="1482776B" w14:textId="77777777" w:rsidR="00AA4518" w:rsidRPr="007623E5" w:rsidRDefault="008B5C86" w:rsidP="00804EEB">
      <w:pPr>
        <w:spacing w:before="120" w:after="240"/>
        <w:rPr>
          <w:rFonts w:ascii="Gill Sans MT" w:hAnsi="Gill Sans MT"/>
          <w:b/>
        </w:rPr>
      </w:pPr>
      <w:r>
        <w:rPr>
          <w:rFonts w:ascii="Gill Sans MT" w:hAnsi="Gill Sans MT"/>
          <w:b/>
        </w:rPr>
        <w:t>CONDUCT IN AND OUT OF</w:t>
      </w:r>
      <w:r w:rsidR="00AA4518" w:rsidRPr="007623E5">
        <w:rPr>
          <w:rFonts w:ascii="Gill Sans MT" w:hAnsi="Gill Sans MT"/>
          <w:b/>
        </w:rPr>
        <w:t xml:space="preserve"> HEARINGS AND ENGAGING WITH THE TRIBUNAL AND OTHER PARTIES</w:t>
      </w:r>
    </w:p>
    <w:p w14:paraId="6C2BF732" w14:textId="77777777" w:rsidR="007623E5" w:rsidRDefault="00AA4518" w:rsidP="00804EEB">
      <w:pPr>
        <w:pStyle w:val="ListParagraph"/>
        <w:numPr>
          <w:ilvl w:val="1"/>
          <w:numId w:val="1"/>
        </w:numPr>
        <w:spacing w:before="120" w:after="240"/>
        <w:ind w:left="567" w:hanging="567"/>
        <w:contextualSpacing w:val="0"/>
        <w:jc w:val="both"/>
        <w:rPr>
          <w:rFonts w:ascii="Gill Sans MT" w:hAnsi="Gill Sans MT"/>
        </w:rPr>
      </w:pPr>
      <w:r>
        <w:rPr>
          <w:rFonts w:ascii="Gill Sans MT" w:hAnsi="Gill Sans MT"/>
        </w:rPr>
        <w:t xml:space="preserve">When appearing before the Tribunal you do not need to stand or bow to </w:t>
      </w:r>
      <w:r w:rsidR="00F94ADB">
        <w:rPr>
          <w:rFonts w:ascii="Gill Sans MT" w:hAnsi="Gill Sans MT"/>
        </w:rPr>
        <w:t>the President, Deputy Presidents or Members</w:t>
      </w:r>
      <w:r>
        <w:rPr>
          <w:rFonts w:ascii="Gill Sans MT" w:hAnsi="Gill Sans MT"/>
        </w:rPr>
        <w:t xml:space="preserve"> when they convene hearings.</w:t>
      </w:r>
    </w:p>
    <w:p w14:paraId="6DB72343" w14:textId="77777777" w:rsidR="00AA4518" w:rsidRPr="007623E5" w:rsidRDefault="00AA4518" w:rsidP="00804EEB">
      <w:pPr>
        <w:pStyle w:val="ListParagraph"/>
        <w:numPr>
          <w:ilvl w:val="1"/>
          <w:numId w:val="1"/>
        </w:numPr>
        <w:spacing w:before="120" w:after="240"/>
        <w:ind w:left="567" w:hanging="567"/>
        <w:contextualSpacing w:val="0"/>
        <w:jc w:val="both"/>
        <w:rPr>
          <w:rFonts w:ascii="Gill Sans MT" w:hAnsi="Gill Sans MT"/>
        </w:rPr>
      </w:pPr>
      <w:r w:rsidRPr="007623E5">
        <w:rPr>
          <w:rFonts w:ascii="Gill Sans MT" w:hAnsi="Gill Sans MT" w:cs="Arial"/>
        </w:rPr>
        <w:t>You should address the person convening the hearing in the following ways:</w:t>
      </w:r>
    </w:p>
    <w:p w14:paraId="25D0A2F9" w14:textId="77777777" w:rsidR="00AA4518" w:rsidRPr="00FA281B" w:rsidRDefault="00AA4518" w:rsidP="00804EEB">
      <w:pPr>
        <w:numPr>
          <w:ilvl w:val="0"/>
          <w:numId w:val="2"/>
        </w:numPr>
        <w:tabs>
          <w:tab w:val="clear" w:pos="1134"/>
          <w:tab w:val="num" w:pos="1701"/>
        </w:tabs>
        <w:spacing w:before="120" w:after="240" w:line="276" w:lineRule="auto"/>
        <w:jc w:val="both"/>
        <w:rPr>
          <w:rFonts w:ascii="Gill Sans MT" w:hAnsi="Gill Sans MT" w:cs="Arial"/>
        </w:rPr>
      </w:pPr>
      <w:r w:rsidRPr="00FA281B">
        <w:rPr>
          <w:rFonts w:ascii="Gill Sans MT" w:hAnsi="Gill Sans MT" w:cs="Arial"/>
        </w:rPr>
        <w:t>“</w:t>
      </w:r>
      <w:r>
        <w:rPr>
          <w:rFonts w:ascii="Gill Sans MT" w:hAnsi="Gill Sans MT" w:cs="Arial"/>
        </w:rPr>
        <w:t>Deputy President (last name)” or “Member (last name)”</w:t>
      </w:r>
    </w:p>
    <w:p w14:paraId="5008F802" w14:textId="77777777" w:rsidR="00AA4518" w:rsidRPr="00FA281B" w:rsidRDefault="00AA4518" w:rsidP="00804EEB">
      <w:pPr>
        <w:numPr>
          <w:ilvl w:val="0"/>
          <w:numId w:val="2"/>
        </w:numPr>
        <w:tabs>
          <w:tab w:val="clear" w:pos="1134"/>
          <w:tab w:val="num" w:pos="1701"/>
        </w:tabs>
        <w:spacing w:before="120" w:after="240" w:line="276" w:lineRule="auto"/>
        <w:jc w:val="both"/>
        <w:rPr>
          <w:rFonts w:ascii="Gill Sans MT" w:hAnsi="Gill Sans MT" w:cs="Arial"/>
        </w:rPr>
      </w:pPr>
      <w:r w:rsidRPr="00FA281B">
        <w:rPr>
          <w:rFonts w:ascii="Gill Sans MT" w:hAnsi="Gill Sans MT" w:cs="Arial"/>
        </w:rPr>
        <w:t>“Sir” or “Madam”.</w:t>
      </w:r>
    </w:p>
    <w:p w14:paraId="031F3E7F" w14:textId="77777777" w:rsidR="007623E5" w:rsidRDefault="00AA4518" w:rsidP="00804EEB">
      <w:pPr>
        <w:spacing w:before="120" w:after="240"/>
        <w:ind w:left="1134" w:hanging="567"/>
        <w:jc w:val="both"/>
        <w:rPr>
          <w:rFonts w:ascii="Gill Sans MT" w:hAnsi="Gill Sans MT" w:cs="Arial"/>
        </w:rPr>
      </w:pPr>
      <w:r w:rsidRPr="00FA281B">
        <w:rPr>
          <w:rFonts w:ascii="Gill Sans MT" w:hAnsi="Gill Sans MT" w:cs="Arial"/>
        </w:rPr>
        <w:tab/>
      </w:r>
      <w:r>
        <w:rPr>
          <w:rFonts w:ascii="Gill Sans MT" w:hAnsi="Gill Sans MT" w:cs="Arial"/>
        </w:rPr>
        <w:t xml:space="preserve">You should address a </w:t>
      </w:r>
      <w:r w:rsidRPr="00FA281B">
        <w:rPr>
          <w:rFonts w:ascii="Gill Sans MT" w:hAnsi="Gill Sans MT" w:cs="Arial"/>
        </w:rPr>
        <w:t>Registrar as “Sir”, “Madam” or “Registrar”.</w:t>
      </w:r>
    </w:p>
    <w:p w14:paraId="60AD327A" w14:textId="77777777" w:rsidR="00AA4518" w:rsidRDefault="00AA4518" w:rsidP="00804EEB">
      <w:pPr>
        <w:pStyle w:val="ListParagraph"/>
        <w:numPr>
          <w:ilvl w:val="1"/>
          <w:numId w:val="1"/>
        </w:numPr>
        <w:spacing w:before="120" w:after="240"/>
        <w:ind w:left="567" w:hanging="567"/>
        <w:contextualSpacing w:val="0"/>
        <w:jc w:val="both"/>
        <w:rPr>
          <w:rFonts w:ascii="Gill Sans MT" w:hAnsi="Gill Sans MT" w:cs="Arial"/>
        </w:rPr>
      </w:pPr>
      <w:r w:rsidRPr="007623E5">
        <w:rPr>
          <w:rFonts w:ascii="Gill Sans MT" w:hAnsi="Gill Sans MT"/>
        </w:rPr>
        <w:t>V</w:t>
      </w:r>
      <w:r w:rsidRPr="007623E5">
        <w:rPr>
          <w:rFonts w:ascii="Gill Sans MT" w:hAnsi="Gill Sans MT" w:cs="Arial"/>
        </w:rPr>
        <w:t>isitors and parties must obey the instructions of all Tribunal staff while on Tribunal premises.  Some proceedings are closed to the public, such as mediations.  The Tribunal signs will indicate if t</w:t>
      </w:r>
      <w:r w:rsidR="007623E5" w:rsidRPr="007623E5">
        <w:rPr>
          <w:rFonts w:ascii="Gill Sans MT" w:hAnsi="Gill Sans MT" w:cs="Arial"/>
        </w:rPr>
        <w:t>he hearing is o</w:t>
      </w:r>
      <w:r w:rsidRPr="007623E5">
        <w:rPr>
          <w:rFonts w:ascii="Gill Sans MT" w:hAnsi="Gill Sans MT" w:cs="Arial"/>
        </w:rPr>
        <w:t>pen or</w:t>
      </w:r>
      <w:r w:rsidR="007623E5" w:rsidRPr="007623E5">
        <w:rPr>
          <w:rFonts w:ascii="Gill Sans MT" w:hAnsi="Gill Sans MT" w:cs="Arial"/>
        </w:rPr>
        <w:t xml:space="preserve"> c</w:t>
      </w:r>
      <w:r w:rsidRPr="007623E5">
        <w:rPr>
          <w:rFonts w:ascii="Gill Sans MT" w:hAnsi="Gill Sans MT" w:cs="Arial"/>
        </w:rPr>
        <w:t xml:space="preserve">losed.  </w:t>
      </w:r>
      <w:r w:rsidR="007623E5" w:rsidRPr="007623E5">
        <w:rPr>
          <w:rFonts w:ascii="Gill Sans MT" w:hAnsi="Gill Sans MT" w:cs="Arial"/>
        </w:rPr>
        <w:t>Please do not enter c</w:t>
      </w:r>
      <w:r w:rsidRPr="007623E5">
        <w:rPr>
          <w:rFonts w:ascii="Gill Sans MT" w:hAnsi="Gill Sans MT" w:cs="Arial"/>
        </w:rPr>
        <w:t>losed proceedings and you should leave if directed to do so by staff.</w:t>
      </w:r>
    </w:p>
    <w:p w14:paraId="6F764FD5" w14:textId="77777777" w:rsidR="007623E5" w:rsidRDefault="007623E5" w:rsidP="00804EEB">
      <w:pPr>
        <w:pStyle w:val="ListParagraph"/>
        <w:numPr>
          <w:ilvl w:val="1"/>
          <w:numId w:val="1"/>
        </w:numPr>
        <w:spacing w:before="120" w:after="240"/>
        <w:ind w:left="567" w:hanging="567"/>
        <w:contextualSpacing w:val="0"/>
        <w:jc w:val="both"/>
        <w:rPr>
          <w:rFonts w:ascii="Gill Sans MT" w:hAnsi="Gill Sans MT" w:cs="Arial"/>
        </w:rPr>
      </w:pPr>
      <w:r>
        <w:rPr>
          <w:rFonts w:ascii="Gill Sans MT" w:hAnsi="Gill Sans MT" w:cs="Arial"/>
        </w:rPr>
        <w:t xml:space="preserve">When in hearings please </w:t>
      </w:r>
      <w:r w:rsidR="004D6BB1">
        <w:rPr>
          <w:rFonts w:ascii="Gill Sans MT" w:hAnsi="Gill Sans MT" w:cs="Arial"/>
        </w:rPr>
        <w:t>remember:</w:t>
      </w:r>
    </w:p>
    <w:p w14:paraId="28E1833C" w14:textId="77777777" w:rsidR="007623E5" w:rsidRDefault="004D6BB1" w:rsidP="00804EEB">
      <w:pPr>
        <w:pStyle w:val="ListParagraph"/>
        <w:numPr>
          <w:ilvl w:val="0"/>
          <w:numId w:val="2"/>
        </w:numPr>
        <w:tabs>
          <w:tab w:val="clear" w:pos="1134"/>
          <w:tab w:val="num" w:pos="1701"/>
        </w:tabs>
        <w:spacing w:before="120" w:after="240"/>
        <w:contextualSpacing w:val="0"/>
        <w:jc w:val="both"/>
        <w:rPr>
          <w:rFonts w:ascii="Gill Sans MT" w:hAnsi="Gill Sans MT" w:cs="Arial"/>
        </w:rPr>
      </w:pPr>
      <w:r>
        <w:rPr>
          <w:rFonts w:ascii="Gill Sans MT" w:hAnsi="Gill Sans MT" w:cs="Arial"/>
        </w:rPr>
        <w:lastRenderedPageBreak/>
        <w:t>Do</w:t>
      </w:r>
      <w:r w:rsidR="007623E5">
        <w:rPr>
          <w:rFonts w:ascii="Gill Sans MT" w:hAnsi="Gill Sans MT" w:cs="Arial"/>
        </w:rPr>
        <w:t xml:space="preserve"> not bring food and drink into the hearing room</w:t>
      </w:r>
    </w:p>
    <w:p w14:paraId="6E745B27" w14:textId="1BE21542" w:rsidR="007623E5" w:rsidRDefault="004D6BB1" w:rsidP="00804EEB">
      <w:pPr>
        <w:pStyle w:val="ListParagraph"/>
        <w:numPr>
          <w:ilvl w:val="0"/>
          <w:numId w:val="2"/>
        </w:numPr>
        <w:tabs>
          <w:tab w:val="clear" w:pos="1134"/>
          <w:tab w:val="num" w:pos="1701"/>
        </w:tabs>
        <w:spacing w:before="120" w:after="240"/>
        <w:contextualSpacing w:val="0"/>
        <w:jc w:val="both"/>
        <w:rPr>
          <w:rFonts w:ascii="Gill Sans MT" w:hAnsi="Gill Sans MT" w:cs="Arial"/>
        </w:rPr>
      </w:pPr>
      <w:r>
        <w:rPr>
          <w:rFonts w:ascii="Gill Sans MT" w:hAnsi="Gill Sans MT" w:cs="Arial"/>
        </w:rPr>
        <w:t>To turn off all communication and recording equipment (mobile phones, radio receivers and transmitters, pagers) etc.  There are specific guidelines for the use of electronic equipment in hearing rooms</w:t>
      </w:r>
      <w:r w:rsidR="00F100EA">
        <w:rPr>
          <w:rFonts w:ascii="Gill Sans MT" w:hAnsi="Gill Sans MT" w:cs="Arial"/>
        </w:rPr>
        <w:t xml:space="preserve"> and on Tribunal premises</w:t>
      </w:r>
      <w:r>
        <w:rPr>
          <w:rFonts w:ascii="Gill Sans MT" w:hAnsi="Gill Sans MT" w:cs="Arial"/>
        </w:rPr>
        <w:t xml:space="preserve">.  (see </w:t>
      </w:r>
      <w:r w:rsidR="00F37690">
        <w:rPr>
          <w:rFonts w:ascii="Gill Sans MT" w:hAnsi="Gill Sans MT" w:cs="Arial"/>
        </w:rPr>
        <w:t xml:space="preserve">the </w:t>
      </w:r>
      <w:hyperlink r:id="rId8" w:history="1">
        <w:r w:rsidR="00F37690" w:rsidRPr="00451066">
          <w:rPr>
            <w:rStyle w:val="Hyperlink"/>
            <w:rFonts w:ascii="Gill Sans MT" w:hAnsi="Gill Sans MT" w:cs="Arial"/>
          </w:rPr>
          <w:t>Tribunal Media P</w:t>
        </w:r>
        <w:r w:rsidRPr="00451066">
          <w:rPr>
            <w:rStyle w:val="Hyperlink"/>
            <w:rFonts w:ascii="Gill Sans MT" w:hAnsi="Gill Sans MT" w:cs="Arial"/>
          </w:rPr>
          <w:t>olicy</w:t>
        </w:r>
      </w:hyperlink>
      <w:r>
        <w:rPr>
          <w:rFonts w:ascii="Gill Sans MT" w:hAnsi="Gill Sans MT" w:cs="Arial"/>
        </w:rPr>
        <w:t>)</w:t>
      </w:r>
    </w:p>
    <w:p w14:paraId="00D9D684" w14:textId="7FBCFDED" w:rsidR="004D6BB1" w:rsidRDefault="004D6BB1" w:rsidP="00804EEB">
      <w:pPr>
        <w:pStyle w:val="ListParagraph"/>
        <w:numPr>
          <w:ilvl w:val="0"/>
          <w:numId w:val="2"/>
        </w:numPr>
        <w:tabs>
          <w:tab w:val="clear" w:pos="1134"/>
          <w:tab w:val="num" w:pos="1701"/>
        </w:tabs>
        <w:spacing w:before="120" w:after="240"/>
        <w:contextualSpacing w:val="0"/>
        <w:jc w:val="both"/>
        <w:rPr>
          <w:rFonts w:ascii="Gill Sans MT" w:hAnsi="Gill Sans MT" w:cs="Arial"/>
        </w:rPr>
      </w:pPr>
      <w:r>
        <w:rPr>
          <w:rFonts w:ascii="Gill Sans MT" w:hAnsi="Gill Sans MT" w:cs="Arial"/>
        </w:rPr>
        <w:t xml:space="preserve">Do </w:t>
      </w:r>
      <w:r w:rsidR="00751975">
        <w:rPr>
          <w:rFonts w:ascii="Gill Sans MT" w:hAnsi="Gill Sans MT" w:cs="Arial"/>
        </w:rPr>
        <w:t xml:space="preserve">not </w:t>
      </w:r>
      <w:r>
        <w:rPr>
          <w:rFonts w:ascii="Gill Sans MT" w:hAnsi="Gill Sans MT" w:cs="Arial"/>
        </w:rPr>
        <w:t>leave the hearing room without permission of the presiding member while the hearing is taking place.  The Tribunal cannot proceed without all parties present.  An adjournment may be required if you need to leave the room</w:t>
      </w:r>
    </w:p>
    <w:p w14:paraId="4007366F" w14:textId="77777777" w:rsidR="004D6BB1" w:rsidRDefault="004D6BB1" w:rsidP="00804EEB">
      <w:pPr>
        <w:pStyle w:val="ListParagraph"/>
        <w:numPr>
          <w:ilvl w:val="0"/>
          <w:numId w:val="2"/>
        </w:numPr>
        <w:tabs>
          <w:tab w:val="clear" w:pos="1134"/>
          <w:tab w:val="num" w:pos="1701"/>
        </w:tabs>
        <w:spacing w:before="120" w:after="240"/>
        <w:contextualSpacing w:val="0"/>
        <w:jc w:val="both"/>
        <w:rPr>
          <w:rFonts w:ascii="Gill Sans MT" w:hAnsi="Gill Sans MT" w:cs="Arial"/>
        </w:rPr>
      </w:pPr>
      <w:r>
        <w:rPr>
          <w:rFonts w:ascii="Gill Sans MT" w:hAnsi="Gill Sans MT" w:cs="Arial"/>
        </w:rPr>
        <w:t xml:space="preserve">If there is an adjournment, please remember the microphones at the Tribunal are always on and very sensitive.  If you wish to have private conversations you should consider moving outside or to one of the conference rooms in the premises.  </w:t>
      </w:r>
    </w:p>
    <w:p w14:paraId="6FC007CE" w14:textId="77777777" w:rsidR="004D6BB1" w:rsidRDefault="00416C5D" w:rsidP="00804EEB">
      <w:pPr>
        <w:pStyle w:val="ListParagraph"/>
        <w:numPr>
          <w:ilvl w:val="1"/>
          <w:numId w:val="1"/>
        </w:numPr>
        <w:spacing w:before="120" w:after="240"/>
        <w:ind w:left="567" w:hanging="567"/>
        <w:contextualSpacing w:val="0"/>
        <w:jc w:val="both"/>
        <w:rPr>
          <w:rFonts w:ascii="Gill Sans MT" w:hAnsi="Gill Sans MT" w:cs="Arial"/>
        </w:rPr>
      </w:pPr>
      <w:r w:rsidRPr="00416C5D">
        <w:rPr>
          <w:rFonts w:ascii="Gill Sans MT" w:hAnsi="Gill Sans MT" w:cs="Arial"/>
        </w:rPr>
        <w:t xml:space="preserve">Whether in hearings or in any </w:t>
      </w:r>
      <w:r w:rsidR="00F100EA">
        <w:rPr>
          <w:rFonts w:ascii="Gill Sans MT" w:hAnsi="Gill Sans MT" w:cs="Arial"/>
        </w:rPr>
        <w:t>interaction</w:t>
      </w:r>
      <w:r w:rsidRPr="00416C5D">
        <w:rPr>
          <w:rFonts w:ascii="Gill Sans MT" w:hAnsi="Gill Sans MT" w:cs="Arial"/>
        </w:rPr>
        <w:t xml:space="preserve"> with the Tribunal and other parties, the Tribunal expects all parties to conduct themselves with politeness and professionalism.  Rudeness and discourtesy are not acceptable, and parties are on notice that in some circumstances they may constitute an offence (see </w:t>
      </w:r>
      <w:r w:rsidR="00F37690">
        <w:rPr>
          <w:rFonts w:ascii="Gill Sans MT" w:hAnsi="Gill Sans MT" w:cs="Arial"/>
        </w:rPr>
        <w:t xml:space="preserve">Section 128 of the Tasmanian Civil and </w:t>
      </w:r>
      <w:r w:rsidR="003663D5">
        <w:rPr>
          <w:rFonts w:ascii="Gill Sans MT" w:hAnsi="Gill Sans MT" w:cs="Arial"/>
        </w:rPr>
        <w:t>Administrative Tribunal Act 2020</w:t>
      </w:r>
      <w:r w:rsidR="00F37690">
        <w:rPr>
          <w:rFonts w:ascii="Gill Sans MT" w:hAnsi="Gill Sans MT" w:cs="Arial"/>
        </w:rPr>
        <w:t>).</w:t>
      </w:r>
    </w:p>
    <w:p w14:paraId="34F85A14" w14:textId="77777777" w:rsidR="00416C5D" w:rsidRDefault="00416C5D" w:rsidP="00804EEB">
      <w:pPr>
        <w:pStyle w:val="ListParagraph"/>
        <w:numPr>
          <w:ilvl w:val="1"/>
          <w:numId w:val="1"/>
        </w:numPr>
        <w:spacing w:before="120" w:after="240"/>
        <w:ind w:left="567" w:hanging="567"/>
        <w:contextualSpacing w:val="0"/>
        <w:jc w:val="both"/>
        <w:rPr>
          <w:rFonts w:ascii="Gill Sans MT" w:hAnsi="Gill Sans MT" w:cs="Arial"/>
        </w:rPr>
      </w:pPr>
      <w:r>
        <w:rPr>
          <w:rFonts w:ascii="Gill Sans MT" w:hAnsi="Gill Sans MT" w:cs="Arial"/>
        </w:rPr>
        <w:t>The expectations of conduct apply to all parties whether they are appearing in person, by telephone or video link.  Please note that where a person appears remotely, the location from where they participate is considered court premises under Section (Court Security Act 2017)</w:t>
      </w:r>
      <w:r w:rsidR="00EE0CB4">
        <w:rPr>
          <w:rFonts w:ascii="Gill Sans MT" w:hAnsi="Gill Sans MT" w:cs="Arial"/>
        </w:rPr>
        <w:t>.</w:t>
      </w:r>
    </w:p>
    <w:p w14:paraId="36A48F00" w14:textId="77777777" w:rsidR="00EE0CB4" w:rsidRPr="00416C5D" w:rsidRDefault="00EE0CB4" w:rsidP="00804EEB">
      <w:pPr>
        <w:pStyle w:val="ListParagraph"/>
        <w:numPr>
          <w:ilvl w:val="1"/>
          <w:numId w:val="1"/>
        </w:numPr>
        <w:spacing w:before="120" w:after="240"/>
        <w:ind w:left="567" w:hanging="567"/>
        <w:contextualSpacing w:val="0"/>
        <w:jc w:val="both"/>
        <w:rPr>
          <w:rFonts w:ascii="Gill Sans MT" w:hAnsi="Gill Sans MT" w:cs="Arial"/>
        </w:rPr>
      </w:pPr>
      <w:r>
        <w:rPr>
          <w:rFonts w:ascii="Gill Sans MT" w:hAnsi="Gill Sans MT" w:cs="Arial"/>
        </w:rPr>
        <w:t>While waiting for hearings or during adjournments, please avoid causing disturbances in the Tribunal premises.  Other hearings will be taking place and loud conversations may distract or affect hearings in other rooms.</w:t>
      </w:r>
    </w:p>
    <w:sectPr w:rsidR="00EE0CB4" w:rsidRPr="00416C5D" w:rsidSect="00ED2B0E">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0B9F" w14:textId="77777777" w:rsidR="00ED2B0E" w:rsidRDefault="00ED2B0E" w:rsidP="00ED2B0E">
      <w:r>
        <w:separator/>
      </w:r>
    </w:p>
  </w:endnote>
  <w:endnote w:type="continuationSeparator" w:id="0">
    <w:p w14:paraId="291CD195" w14:textId="77777777" w:rsidR="00ED2B0E" w:rsidRDefault="00ED2B0E" w:rsidP="00ED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C3C1" w14:textId="77777777" w:rsidR="00ED2B0E" w:rsidRPr="00ED2B0E" w:rsidRDefault="00ED2B0E" w:rsidP="00ED2B0E">
    <w:pPr>
      <w:pStyle w:val="Footer"/>
      <w:jc w:val="right"/>
      <w:rPr>
        <w:rFonts w:ascii="Gill Sans MT" w:hAnsi="Gill Sans MT"/>
        <w:sz w:val="18"/>
        <w:szCs w:val="18"/>
      </w:rPr>
    </w:pPr>
    <w:r>
      <w:rPr>
        <w:rFonts w:ascii="Gill Sans MT" w:hAnsi="Gill Sans MT"/>
        <w:sz w:val="18"/>
        <w:szCs w:val="18"/>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55AD" w14:textId="77777777" w:rsidR="00ED2B0E" w:rsidRDefault="00ED2B0E" w:rsidP="00ED2B0E">
      <w:r>
        <w:separator/>
      </w:r>
    </w:p>
  </w:footnote>
  <w:footnote w:type="continuationSeparator" w:id="0">
    <w:p w14:paraId="65F82822" w14:textId="77777777" w:rsidR="00ED2B0E" w:rsidRDefault="00ED2B0E" w:rsidP="00ED2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11228"/>
    <w:multiLevelType w:val="multilevel"/>
    <w:tmpl w:val="723A7D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DF5700"/>
    <w:multiLevelType w:val="hybridMultilevel"/>
    <w:tmpl w:val="A41E97C0"/>
    <w:lvl w:ilvl="0" w:tplc="F03E1242">
      <w:start w:val="1"/>
      <w:numFmt w:val="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9B748E"/>
    <w:multiLevelType w:val="multilevel"/>
    <w:tmpl w:val="90382EB6"/>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20"/>
    <w:rsid w:val="00080EFB"/>
    <w:rsid w:val="003663D5"/>
    <w:rsid w:val="00416C5D"/>
    <w:rsid w:val="00451066"/>
    <w:rsid w:val="00474779"/>
    <w:rsid w:val="004D6BB1"/>
    <w:rsid w:val="00681C55"/>
    <w:rsid w:val="00751975"/>
    <w:rsid w:val="007623E5"/>
    <w:rsid w:val="00782F73"/>
    <w:rsid w:val="00804EEB"/>
    <w:rsid w:val="008B5C86"/>
    <w:rsid w:val="008D41AD"/>
    <w:rsid w:val="00AA4518"/>
    <w:rsid w:val="00C93169"/>
    <w:rsid w:val="00D62985"/>
    <w:rsid w:val="00E42C20"/>
    <w:rsid w:val="00ED2B0E"/>
    <w:rsid w:val="00EE0CB4"/>
    <w:rsid w:val="00F100EA"/>
    <w:rsid w:val="00F37690"/>
    <w:rsid w:val="00F94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79E93"/>
  <w15:chartTrackingRefBased/>
  <w15:docId w15:val="{8B68B284-0390-44DC-9892-82A18D72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C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20"/>
    <w:pPr>
      <w:ind w:left="720"/>
      <w:contextualSpacing/>
    </w:pPr>
  </w:style>
  <w:style w:type="paragraph" w:styleId="Header">
    <w:name w:val="header"/>
    <w:basedOn w:val="Normal"/>
    <w:link w:val="HeaderChar"/>
    <w:unhideWhenUsed/>
    <w:rsid w:val="00ED2B0E"/>
    <w:pPr>
      <w:tabs>
        <w:tab w:val="center" w:pos="4513"/>
        <w:tab w:val="right" w:pos="9026"/>
      </w:tabs>
    </w:pPr>
  </w:style>
  <w:style w:type="character" w:customStyle="1" w:styleId="HeaderChar">
    <w:name w:val="Header Char"/>
    <w:basedOn w:val="DefaultParagraphFont"/>
    <w:link w:val="Header"/>
    <w:rsid w:val="00ED2B0E"/>
    <w:rPr>
      <w:sz w:val="24"/>
      <w:szCs w:val="24"/>
    </w:rPr>
  </w:style>
  <w:style w:type="paragraph" w:styleId="Footer">
    <w:name w:val="footer"/>
    <w:basedOn w:val="Normal"/>
    <w:link w:val="FooterChar"/>
    <w:unhideWhenUsed/>
    <w:rsid w:val="00ED2B0E"/>
    <w:pPr>
      <w:tabs>
        <w:tab w:val="center" w:pos="4513"/>
        <w:tab w:val="right" w:pos="9026"/>
      </w:tabs>
    </w:pPr>
  </w:style>
  <w:style w:type="character" w:customStyle="1" w:styleId="FooterChar">
    <w:name w:val="Footer Char"/>
    <w:basedOn w:val="DefaultParagraphFont"/>
    <w:link w:val="Footer"/>
    <w:rsid w:val="00ED2B0E"/>
    <w:rPr>
      <w:sz w:val="24"/>
      <w:szCs w:val="24"/>
    </w:rPr>
  </w:style>
  <w:style w:type="character" w:styleId="Hyperlink">
    <w:name w:val="Hyperlink"/>
    <w:basedOn w:val="DefaultParagraphFont"/>
    <w:unhideWhenUsed/>
    <w:rsid w:val="00451066"/>
    <w:rPr>
      <w:color w:val="0000FF" w:themeColor="hyperlink"/>
      <w:u w:val="single"/>
    </w:rPr>
  </w:style>
  <w:style w:type="character" w:styleId="UnresolvedMention">
    <w:name w:val="Unresolved Mention"/>
    <w:basedOn w:val="DefaultParagraphFont"/>
    <w:uiPriority w:val="99"/>
    <w:semiHidden/>
    <w:unhideWhenUsed/>
    <w:rsid w:val="00451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cat.tas.gov.au/contact/media-inquiries-and-protocol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Harris, Hilary</cp:lastModifiedBy>
  <cp:revision>2</cp:revision>
  <dcterms:created xsi:type="dcterms:W3CDTF">2022-07-14T23:43:00Z</dcterms:created>
  <dcterms:modified xsi:type="dcterms:W3CDTF">2022-07-14T23:43:00Z</dcterms:modified>
</cp:coreProperties>
</file>